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urier New" w:hAnsi="Courier New" w:cs="Courier New"/>
        </w:rPr>
      </w:pPr>
      <w:r>
        <w:rPr>
          <w:rFonts w:cs="Courier New" w:ascii="Courier New" w:hAnsi="Courier New"/>
        </w:rPr>
        <w:t>Comments on ABX1 8 (as amended 02/27/01)</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Regarding Section 2, adding proposed section 342 to the Public Utilities Code:</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[IEP] approves of improved coordination of maintenance outages as the bill proposes and welcomes further discipline in the assessment of generating facility performance, including properly conducted inspections, to finally resolve and eliminate any concerns of bad conduct for the purpose of price manipulation.  [IEP] also agrees with the bill’s proposal to accomplish these goals through the Independent System Operator, since that is already a large part of its charge and it is singularly well-qualified, and best suited, to implement new standards and guidelines in this area.  It is our understanding that the Independent System Operator is undertaking refinements to its existing Outage Coordination Protocols that are part of the ISO Tariff today.  [IEP] does have a small number of concerns and recommendations for your consideration.</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u w:val="single"/>
        </w:rPr>
        <w:t>Section 342(c)</w:t>
      </w:r>
    </w:p>
    <w:p>
      <w:pPr>
        <w:pStyle w:val="Normal"/>
        <w:rPr>
          <w:rFonts w:ascii="Courier New" w:hAnsi="Courier New" w:cs="Courier New"/>
          <w:u w:val="single"/>
        </w:rPr>
      </w:pPr>
      <w:r>
        <w:rPr>
          <w:rFonts w:cs="Courier New" w:ascii="Courier New" w:hAnsi="Courier New"/>
          <w:u w:val="single"/>
        </w:rPr>
      </w:r>
    </w:p>
    <w:p>
      <w:pPr>
        <w:pStyle w:val="Normal"/>
        <w:rPr/>
      </w:pPr>
      <w:r>
        <w:rPr>
          <w:rFonts w:cs="Courier New" w:ascii="Courier New" w:hAnsi="Courier New"/>
          <w:u w:val="single"/>
        </w:rPr>
        <w:t>Concern</w:t>
      </w:r>
      <w:r>
        <w:rPr>
          <w:rFonts w:cs="Courier New" w:ascii="Courier New" w:hAnsi="Courier New"/>
        </w:rPr>
        <w:t xml:space="preserve">: The subsection refers, and purports to apply to, any “electric generating facility” in California.  The Independent System Operator effects its responsibilities through tariffs and contractual mechanisms, the latter being in particular a </w:t>
      </w:r>
      <w:commentRangeStart w:id="0"/>
      <w:r>
        <w:rPr>
          <w:rFonts w:cs="Courier New" w:ascii="Courier New" w:hAnsi="Courier New"/>
        </w:rPr>
        <w:t>Participating Generator Agreement</w:t>
      </w:r>
      <w:r>
        <w:rPr>
          <w:rStyle w:val="CommentReference"/>
          <w:vanish w:val="false"/>
        </w:rPr>
      </w:r>
      <w:commentRangeEnd w:id="0"/>
      <w:r>
        <w:commentReference w:id="0"/>
      </w:r>
      <w:r>
        <w:rPr>
          <w:rFonts w:cs="Courier New" w:ascii="Courier New" w:hAnsi="Courier New"/>
        </w:rPr>
        <w:t>.  These are the vehicles through which the bill’s objectives can best be achieved.</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u w:val="single"/>
        </w:rPr>
        <w:t>Recommendation</w:t>
      </w:r>
      <w:r>
        <w:rPr>
          <w:rFonts w:cs="Courier New" w:ascii="Courier New" w:hAnsi="Courier New"/>
        </w:rPr>
        <w:t>:  Define a “generating facility” for purposes of the legislation as a generating facility subject to the terms and conditions of a Participating Generator Agreement and therefore also subject to the applicable tariff provisions.</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u w:val="single"/>
        </w:rPr>
        <w:t>Section 342(d)</w:t>
      </w:r>
      <w:r>
        <w:rPr>
          <w:rFonts w:cs="Courier New" w:ascii="Courier New" w:hAnsi="Courier New"/>
        </w:rPr>
        <w:t>:</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u w:val="single"/>
        </w:rPr>
        <w:t>Concern/Recommendation</w:t>
      </w:r>
      <w:r>
        <w:rPr>
          <w:rFonts w:cs="Courier New" w:ascii="Courier New" w:hAnsi="Courier New"/>
        </w:rPr>
        <w:t>:  It is important that the standards and guidelines with respect to maintenance coordination, and for that matter inspections (see 342(g)), not result in or create, through inadvertence, an impairment of reliability, safety or security at generating facilities.  The standards and guidelines should be developed in a public process involving the input of all interested persons and should place specific, heavy weight on coordination and cooperation between the Independent System Operator and the generating facilities.</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u w:val="single"/>
        </w:rPr>
        <w:t>Section 342(e)</w:t>
      </w:r>
      <w:r>
        <w:rPr>
          <w:rFonts w:cs="Courier New" w:ascii="Courier New" w:hAnsi="Courier New"/>
        </w:rPr>
        <w:t>:</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u w:val="single"/>
        </w:rPr>
        <w:t>Concern</w:t>
      </w:r>
      <w:r>
        <w:rPr>
          <w:rFonts w:cs="Courier New" w:ascii="Courier New" w:hAnsi="Courier New"/>
        </w:rPr>
        <w:t>:  Specification of maintenance “criteria” could be problematic for a number of reasons.  While information on, and coordination of, planned outages makes a great deal of sense, unnecessary maintenance specifications from the Independent System Operator may well compromise vendor warranties and place plant operators in untenable positions with respect to real-time decisions on plant maintenance.  A “one-size-fits-all” approach to such standards will understate the importance of judgment and experience with respect to the peculiarities of specific plant units which requires intimate knowledge with the unit and its capabilities.</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u w:val="single"/>
        </w:rPr>
        <w:t>Recommendation</w:t>
      </w:r>
      <w:r>
        <w:rPr>
          <w:rFonts w:cs="Courier New" w:ascii="Courier New" w:hAnsi="Courier New"/>
        </w:rPr>
        <w:t>:  Keep the focus of the bill on broad unit availability standards and guidelines, information exchange, maintenance schedule coordination and monitoring, and avoid over-specification.  This subsection is probably unnecessary.</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u w:val="single"/>
        </w:rPr>
        <w:t>Section 342(f)</w:t>
      </w:r>
      <w:r>
        <w:rPr>
          <w:rFonts w:cs="Courier New" w:ascii="Courier New" w:hAnsi="Courier New"/>
        </w:rPr>
        <w:t>:</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u w:val="single"/>
        </w:rPr>
        <w:t>Concern/Recommendation</w:t>
      </w:r>
      <w:r>
        <w:rPr>
          <w:rFonts w:cs="Courier New" w:ascii="Courier New" w:hAnsi="Courier New"/>
        </w:rPr>
        <w:t>:  Reporting to both the Independent System Operator and the Electricity Oversight Board is, obviously, duplicative on its face and undermines the premise of the bill, namely, that the Independent System Operator is singularly well-suited to handle, and disseminate to the Electricity Oversight Board, important information.  Leave the upstream reporting obligations between the Independent System Operator and the Electricity Oversight Board.</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u w:val="single"/>
        </w:rPr>
        <w:t>Section 342(g)</w:t>
      </w:r>
      <w:r>
        <w:rPr>
          <w:rFonts w:cs="Courier New" w:ascii="Courier New" w:hAnsi="Courier New"/>
        </w:rPr>
        <w:t>:</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u w:val="single"/>
        </w:rPr>
        <w:t>Concerns/Recommendations</w:t>
      </w:r>
      <w:r>
        <w:rPr>
          <w:rFonts w:cs="Courier New" w:ascii="Courier New" w:hAnsi="Courier New"/>
        </w:rPr>
        <w:t xml:space="preserve">:  As noted above, it is critical that generation and </w:t>
      </w:r>
      <w:commentRangeStart w:id="1"/>
      <w:r>
        <w:rPr>
          <w:rFonts w:cs="Courier New" w:ascii="Courier New" w:hAnsi="Courier New"/>
        </w:rPr>
        <w:t xml:space="preserve">transmission system </w:t>
      </w:r>
      <w:r>
        <w:rPr>
          <w:rStyle w:val="CommentReference"/>
          <w:vanish w:val="false"/>
        </w:rPr>
      </w:r>
      <w:commentRangeEnd w:id="1"/>
      <w:r>
        <w:commentReference w:id="1"/>
      </w:r>
      <w:r>
        <w:rPr>
          <w:rFonts w:cs="Courier New" w:ascii="Courier New" w:hAnsi="Courier New"/>
        </w:rPr>
        <w:t>inspections be conducted pursuant to a coordinated program which will not impair reliability, safety or security at the facilities.  Confidentiality of market sensitive information continues to be an ongoing concern (another reason for funneling through the Independent System Operator and pursuant to its tariffs).  Our proposal is to accomplish multiple objectives through one reform, and that is to have physical inspections conducted by independent contractors with requisite, mutually recognized expertise and objectivity.  Requiring inspections be conducted by independent contractors will assuage concerns over objectivity and confidentiality (using a bilateral confidentiality agreement) and will undoubtedly be less costly to the State than hiring (and perhaps training) inspection teams itself.</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Following, as a convenience, is some proposed language further to the concerns and recommendations raised above.  </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rPr>
        <w:t>342 (a)</w:t>
      </w:r>
      <w:r>
        <w:rPr>
          <w:rFonts w:cs="Courier New" w:ascii="Courier New" w:hAnsi="Courier New"/>
          <w:i/>
        </w:rPr>
        <w:t xml:space="preserve"> </w:t>
      </w:r>
      <w:r>
        <w:rPr>
          <w:rFonts w:cs="Courier New" w:ascii="Courier New" w:hAnsi="Courier New"/>
        </w:rPr>
        <w:t>In order to maximize and coordinate the availability of generation facilities as necessary to maintain the reliability of the electric supply system, and subject to the provisions of subdivisions (d) and (e) of this section, the Independent System Operator shall adopt standards and guidelines concerning such facilities’ availability factors. Such standards and guidelines shall include procedures and protocols for the coordination of maintenance outages and the inspection of generation facilities. The Independent System Operator shall have the authority to conduct physical inspections and audit the books and records of such facilities to determine if there has been a physical withholding of output from a generation facility.</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(b) For purposes of this section, “generation facility” shall mean an electric generation facility located in California that is subject to the terms and conditions of a Participating Generator Agreement under the Independent System Operator’s tariff.</w:t>
      </w:r>
    </w:p>
    <w:p>
      <w:pPr>
        <w:pStyle w:val="Normal"/>
        <w:rPr>
          <w:rFonts w:ascii="Courier New" w:hAnsi="Courier New" w:cs="Courier New"/>
        </w:rPr>
      </w:pPr>
      <w:r>
        <w:rPr>
          <w:rFonts w:cs="Courier New" w:ascii="Courier New" w:hAnsi="Courier New"/>
        </w:rPr>
      </w:r>
    </w:p>
    <w:p>
      <w:pPr>
        <w:pStyle w:val="Normal"/>
        <w:rPr/>
      </w:pPr>
      <w:r>
        <w:rPr>
          <w:rFonts w:cs="Courier New" w:ascii="Courier New" w:hAnsi="Courier New"/>
        </w:rPr>
        <w:t xml:space="preserve">(c) For purposes of this section, “physical withholding of output” means a willful failure by an entity to make a </w:t>
      </w:r>
      <w:r>
        <w:rPr>
          <w:rFonts w:cs="Courier New" w:ascii="Courier New" w:hAnsi="Courier New"/>
          <w:i/>
        </w:rPr>
        <w:t>bona fide</w:t>
      </w:r>
      <w:r>
        <w:rPr>
          <w:rFonts w:cs="Courier New" w:ascii="Courier New" w:hAnsi="Courier New"/>
        </w:rPr>
        <w:t xml:space="preserve"> offer to sell or schedule energy or ancillary services from an available generation facility with the intent of manipulating wholesale energy prices to the benefit of the entity engaged in such physical withholding.</w:t>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 xml:space="preserve">(d) The standards and guidelines developed by the Independent System Operator pursuant to subdivision (a) of this section shall be developed pursuant to a public process involving any interested person and submitted to the Electricity Oversight Board no later than June 1, 2001.  The standards and guidelines shall be resubmitted by the Independent System Operator to the Electricity Oversight Board, including any proposed revisions thereto, no less frequently than annually thereafter.  </w:t>
      </w:r>
      <w:r>
        <w:rPr>
          <w:rStyle w:val="CommentReference"/>
          <w:vanish w:val="false"/>
        </w:rPr>
        <w:commentReference w:id="2"/>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t>(e) The standards and guidelines developed by the Independent System Operator pursuant to subdivision (a) of this section shall:</w:t>
      </w:r>
    </w:p>
    <w:p>
      <w:pPr>
        <w:pStyle w:val="Normal"/>
        <w:rPr>
          <w:rFonts w:ascii="Courier New" w:hAnsi="Courier New" w:cs="Courier New"/>
        </w:rPr>
      </w:pPr>
      <w:r>
        <w:rPr>
          <w:rFonts w:cs="Courier New" w:ascii="Courier New" w:hAnsi="Courier New"/>
        </w:rPr>
      </w:r>
    </w:p>
    <w:p>
      <w:pPr>
        <w:pStyle w:val="Normal"/>
        <w:ind w:start="720" w:end="0"/>
        <w:rPr>
          <w:rFonts w:ascii="Courier New" w:hAnsi="Courier New" w:cs="Courier New"/>
        </w:rPr>
      </w:pPr>
      <w:r>
        <w:rPr>
          <w:rFonts w:cs="Courier New" w:ascii="Courier New" w:hAnsi="Courier New"/>
        </w:rPr>
        <w:t>(1) ensure that maintenance coordination and inspection protocols are conducted in a manner which does not impair the reliability, safety or security of generation facility operations;</w:t>
      </w:r>
    </w:p>
    <w:p>
      <w:pPr>
        <w:pStyle w:val="Normal"/>
        <w:ind w:start="720" w:end="0"/>
        <w:rPr>
          <w:rFonts w:ascii="Courier New" w:hAnsi="Courier New" w:cs="Courier New"/>
        </w:rPr>
      </w:pPr>
      <w:r>
        <w:rPr>
          <w:rFonts w:cs="Courier New" w:ascii="Courier New" w:hAnsi="Courier New"/>
        </w:rPr>
      </w:r>
    </w:p>
    <w:p>
      <w:pPr>
        <w:pStyle w:val="Normal"/>
        <w:tabs>
          <w:tab w:val="clear" w:pos="720"/>
          <w:tab w:val="left" w:pos="1056" w:leader="none"/>
          <w:tab w:val="left" w:pos="2112" w:leader="none"/>
          <w:tab w:val="left" w:pos="3168" w:leader="none"/>
          <w:tab w:val="left" w:pos="4224" w:leader="none"/>
          <w:tab w:val="left" w:pos="5280" w:leader="none"/>
          <w:tab w:val="left" w:pos="6336" w:leader="none"/>
          <w:tab w:val="left" w:pos="7392" w:leader="none"/>
          <w:tab w:val="left" w:pos="8448" w:leader="none"/>
          <w:tab w:val="left" w:pos="9504" w:leader="none"/>
          <w:tab w:val="left" w:pos="10560" w:leader="none"/>
          <w:tab w:val="left" w:pos="11616" w:leader="none"/>
          <w:tab w:val="left" w:pos="12672" w:leader="none"/>
          <w:tab w:val="left" w:pos="13728" w:leader="none"/>
          <w:tab w:val="left" w:pos="14784" w:leader="none"/>
          <w:tab w:val="left" w:pos="15840" w:leader="none"/>
          <w:tab w:val="left" w:pos="16896" w:leader="none"/>
          <w:tab w:val="left" w:pos="17952" w:leader="none"/>
          <w:tab w:val="left" w:pos="19008" w:leader="none"/>
          <w:tab w:val="left" w:pos="20064" w:leader="none"/>
        </w:tabs>
        <w:ind w:start="720" w:end="0"/>
        <w:rPr/>
      </w:pPr>
      <w:r>
        <w:rPr>
          <w:rFonts w:cs="Courier New" w:ascii="Courier New" w:hAnsi="Courier New"/>
        </w:rPr>
        <w:t xml:space="preserve">(2) provide that results of inspections are promptly reported </w:t>
      </w:r>
      <w:commentRangeStart w:id="3"/>
      <w:r>
        <w:rPr>
          <w:rFonts w:cs="Courier New" w:ascii="Courier New" w:hAnsi="Courier New"/>
        </w:rPr>
        <w:t xml:space="preserve">on a confidential basis </w:t>
      </w:r>
      <w:r>
        <w:rPr>
          <w:rStyle w:val="CommentReference"/>
          <w:vanish w:val="false"/>
        </w:rPr>
      </w:r>
      <w:commentRangeEnd w:id="3"/>
      <w:r>
        <w:commentReference w:id="3"/>
      </w:r>
      <w:r>
        <w:rPr>
          <w:rFonts w:cs="Courier New" w:ascii="Courier New" w:hAnsi="Courier New"/>
        </w:rPr>
        <w:t>to the owner or operator of the generation facility and the Electricity Oversight Board; and</w:t>
      </w:r>
    </w:p>
    <w:p>
      <w:pPr>
        <w:pStyle w:val="Normal"/>
        <w:tabs>
          <w:tab w:val="clear" w:pos="720"/>
          <w:tab w:val="left" w:pos="1056" w:leader="none"/>
          <w:tab w:val="left" w:pos="2112" w:leader="none"/>
          <w:tab w:val="left" w:pos="3168" w:leader="none"/>
          <w:tab w:val="left" w:pos="4224" w:leader="none"/>
          <w:tab w:val="left" w:pos="5280" w:leader="none"/>
          <w:tab w:val="left" w:pos="6336" w:leader="none"/>
          <w:tab w:val="left" w:pos="7392" w:leader="none"/>
          <w:tab w:val="left" w:pos="8448" w:leader="none"/>
          <w:tab w:val="left" w:pos="9504" w:leader="none"/>
          <w:tab w:val="left" w:pos="10560" w:leader="none"/>
          <w:tab w:val="left" w:pos="11616" w:leader="none"/>
          <w:tab w:val="left" w:pos="12672" w:leader="none"/>
          <w:tab w:val="left" w:pos="13728" w:leader="none"/>
          <w:tab w:val="left" w:pos="14784" w:leader="none"/>
          <w:tab w:val="left" w:pos="15840" w:leader="none"/>
          <w:tab w:val="left" w:pos="16896" w:leader="none"/>
          <w:tab w:val="left" w:pos="17952" w:leader="none"/>
          <w:tab w:val="left" w:pos="19008" w:leader="none"/>
          <w:tab w:val="left" w:pos="20064" w:leader="none"/>
        </w:tabs>
        <w:ind w:start="720" w:end="0"/>
        <w:rPr>
          <w:rFonts w:ascii="Courier New" w:hAnsi="Courier New" w:cs="Courier New"/>
        </w:rPr>
      </w:pPr>
      <w:r>
        <w:rPr>
          <w:rFonts w:cs="Courier New" w:ascii="Courier New" w:hAnsi="Courier New"/>
        </w:rPr>
      </w:r>
    </w:p>
    <w:p>
      <w:pPr>
        <w:pStyle w:val="Normal"/>
        <w:tabs>
          <w:tab w:val="clear" w:pos="720"/>
          <w:tab w:val="left" w:pos="1056" w:leader="none"/>
          <w:tab w:val="left" w:pos="2112" w:leader="none"/>
          <w:tab w:val="left" w:pos="3168" w:leader="none"/>
          <w:tab w:val="left" w:pos="4224" w:leader="none"/>
          <w:tab w:val="left" w:pos="5280" w:leader="none"/>
          <w:tab w:val="left" w:pos="6336" w:leader="none"/>
          <w:tab w:val="left" w:pos="7392" w:leader="none"/>
          <w:tab w:val="left" w:pos="8448" w:leader="none"/>
          <w:tab w:val="left" w:pos="9504" w:leader="none"/>
          <w:tab w:val="left" w:pos="10560" w:leader="none"/>
          <w:tab w:val="left" w:pos="11616" w:leader="none"/>
          <w:tab w:val="left" w:pos="12672" w:leader="none"/>
          <w:tab w:val="left" w:pos="13728" w:leader="none"/>
          <w:tab w:val="left" w:pos="14784" w:leader="none"/>
          <w:tab w:val="left" w:pos="15840" w:leader="none"/>
          <w:tab w:val="left" w:pos="16896" w:leader="none"/>
          <w:tab w:val="left" w:pos="17952" w:leader="none"/>
          <w:tab w:val="left" w:pos="19008" w:leader="none"/>
          <w:tab w:val="left" w:pos="20064" w:leader="none"/>
        </w:tabs>
        <w:ind w:start="720" w:end="0"/>
        <w:rPr>
          <w:rFonts w:ascii="Courier New" w:hAnsi="Courier New" w:cs="Courier New"/>
        </w:rPr>
      </w:pPr>
      <w:r>
        <w:rPr>
          <w:rFonts w:cs="Courier New" w:ascii="Courier New" w:hAnsi="Courier New"/>
        </w:rPr>
        <w:t>(3) provide that physical inspections of generation facilities shall be conducted by independent contractors meeting qualifications regarding sufficient expertise in generation facility operation and maintenance as may be determined by the Independent System Operator.  All costs associated with such inspections shall be fully recoverable by the Independent System Operator as operating costs through an appropriate tariff mechanism.</w:t>
      </w:r>
    </w:p>
    <w:p>
      <w:pPr>
        <w:pStyle w:val="Normal"/>
        <w:tabs>
          <w:tab w:val="clear" w:pos="720"/>
          <w:tab w:val="left" w:pos="1056" w:leader="none"/>
          <w:tab w:val="left" w:pos="2112" w:leader="none"/>
          <w:tab w:val="left" w:pos="3168" w:leader="none"/>
          <w:tab w:val="left" w:pos="4224" w:leader="none"/>
          <w:tab w:val="left" w:pos="5280" w:leader="none"/>
          <w:tab w:val="left" w:pos="6336" w:leader="none"/>
          <w:tab w:val="left" w:pos="7392" w:leader="none"/>
          <w:tab w:val="left" w:pos="8448" w:leader="none"/>
          <w:tab w:val="left" w:pos="9504" w:leader="none"/>
          <w:tab w:val="left" w:pos="10560" w:leader="none"/>
          <w:tab w:val="left" w:pos="11616" w:leader="none"/>
          <w:tab w:val="left" w:pos="12672" w:leader="none"/>
          <w:tab w:val="left" w:pos="13728" w:leader="none"/>
          <w:tab w:val="left" w:pos="14784" w:leader="none"/>
          <w:tab w:val="left" w:pos="15840" w:leader="none"/>
          <w:tab w:val="left" w:pos="16896" w:leader="none"/>
          <w:tab w:val="left" w:pos="17952" w:leader="none"/>
          <w:tab w:val="left" w:pos="19008" w:leader="none"/>
          <w:tab w:val="left" w:pos="20064" w:leader="none"/>
        </w:tabs>
        <w:rPr>
          <w:rFonts w:ascii="Courier New" w:hAnsi="Courier New" w:cs="Courier New"/>
        </w:rPr>
      </w:pPr>
      <w:r>
        <w:rPr>
          <w:rFonts w:cs="Courier New" w:ascii="Courier New" w:hAnsi="Courier New"/>
        </w:rPr>
      </w:r>
    </w:p>
    <w:p>
      <w:pPr>
        <w:pStyle w:val="Normal"/>
        <w:tabs>
          <w:tab w:val="clear" w:pos="720"/>
          <w:tab w:val="left" w:pos="1056" w:leader="none"/>
          <w:tab w:val="left" w:pos="2112" w:leader="none"/>
          <w:tab w:val="left" w:pos="3168" w:leader="none"/>
          <w:tab w:val="left" w:pos="4224" w:leader="none"/>
          <w:tab w:val="left" w:pos="5280" w:leader="none"/>
          <w:tab w:val="left" w:pos="6336" w:leader="none"/>
          <w:tab w:val="left" w:pos="7392" w:leader="none"/>
          <w:tab w:val="left" w:pos="8448" w:leader="none"/>
          <w:tab w:val="left" w:pos="9504" w:leader="none"/>
          <w:tab w:val="left" w:pos="10560" w:leader="none"/>
          <w:tab w:val="left" w:pos="11616" w:leader="none"/>
          <w:tab w:val="left" w:pos="12672" w:leader="none"/>
          <w:tab w:val="left" w:pos="13728" w:leader="none"/>
          <w:tab w:val="left" w:pos="14784" w:leader="none"/>
          <w:tab w:val="left" w:pos="15840" w:leader="none"/>
          <w:tab w:val="left" w:pos="16896" w:leader="none"/>
          <w:tab w:val="left" w:pos="17952" w:leader="none"/>
          <w:tab w:val="left" w:pos="19008" w:leader="none"/>
          <w:tab w:val="left" w:pos="20064" w:leader="none"/>
        </w:tabs>
        <w:rPr>
          <w:rFonts w:ascii="Courier New" w:hAnsi="Courier New" w:cs="Courier New"/>
        </w:rPr>
      </w:pPr>
      <w:r>
        <w:rPr>
          <w:rFonts w:cs="Courier New" w:ascii="Courier New" w:hAnsi="Courier New"/>
        </w:rPr>
        <w:t>(f) and (g):  As written may be unnecessary as covered above and, with respect to penalties for abuse of market power through physical withholding, through the much more specific and enforceable proposed new section 348.2, below.</w:t>
      </w:r>
    </w:p>
    <w:p>
      <w:pPr>
        <w:pStyle w:val="Normal"/>
        <w:tabs>
          <w:tab w:val="clear" w:pos="720"/>
          <w:tab w:val="left" w:pos="1056" w:leader="none"/>
          <w:tab w:val="left" w:pos="2112" w:leader="none"/>
          <w:tab w:val="left" w:pos="3168" w:leader="none"/>
          <w:tab w:val="left" w:pos="4224" w:leader="none"/>
          <w:tab w:val="left" w:pos="5280" w:leader="none"/>
          <w:tab w:val="left" w:pos="6336" w:leader="none"/>
          <w:tab w:val="left" w:pos="7392" w:leader="none"/>
          <w:tab w:val="left" w:pos="8448" w:leader="none"/>
          <w:tab w:val="left" w:pos="9504" w:leader="none"/>
          <w:tab w:val="left" w:pos="10560" w:leader="none"/>
          <w:tab w:val="left" w:pos="11616" w:leader="none"/>
          <w:tab w:val="left" w:pos="12672" w:leader="none"/>
          <w:tab w:val="left" w:pos="13728" w:leader="none"/>
          <w:tab w:val="left" w:pos="14784" w:leader="none"/>
          <w:tab w:val="left" w:pos="15840" w:leader="none"/>
          <w:tab w:val="left" w:pos="16896" w:leader="none"/>
          <w:tab w:val="left" w:pos="17952" w:leader="none"/>
          <w:tab w:val="left" w:pos="19008" w:leader="none"/>
          <w:tab w:val="left" w:pos="20064" w:leader="none"/>
        </w:tabs>
        <w:rPr>
          <w:rFonts w:ascii="Courier New" w:hAnsi="Courier New" w:cs="Courier New"/>
        </w:rPr>
      </w:pPr>
      <w:r>
        <w:rPr>
          <w:rFonts w:cs="Courier New" w:ascii="Courier New" w:hAnsi="Courier New"/>
        </w:rPr>
      </w:r>
    </w:p>
    <w:p>
      <w:pPr>
        <w:pStyle w:val="Normal"/>
        <w:tabs>
          <w:tab w:val="clear" w:pos="720"/>
          <w:tab w:val="left" w:pos="1056" w:leader="none"/>
          <w:tab w:val="left" w:pos="2112" w:leader="none"/>
          <w:tab w:val="left" w:pos="3168" w:leader="none"/>
          <w:tab w:val="left" w:pos="4224" w:leader="none"/>
          <w:tab w:val="left" w:pos="5280" w:leader="none"/>
          <w:tab w:val="left" w:pos="6336" w:leader="none"/>
          <w:tab w:val="left" w:pos="7392" w:leader="none"/>
          <w:tab w:val="left" w:pos="8448" w:leader="none"/>
          <w:tab w:val="left" w:pos="9504" w:leader="none"/>
          <w:tab w:val="left" w:pos="10560" w:leader="none"/>
          <w:tab w:val="left" w:pos="11616" w:leader="none"/>
          <w:tab w:val="left" w:pos="12672" w:leader="none"/>
          <w:tab w:val="left" w:pos="13728" w:leader="none"/>
          <w:tab w:val="left" w:pos="14784" w:leader="none"/>
          <w:tab w:val="left" w:pos="15840" w:leader="none"/>
          <w:tab w:val="left" w:pos="16896" w:leader="none"/>
          <w:tab w:val="left" w:pos="17952" w:leader="none"/>
          <w:tab w:val="left" w:pos="19008" w:leader="none"/>
          <w:tab w:val="left" w:pos="20064" w:leader="none"/>
        </w:tabs>
        <w:rPr>
          <w:rFonts w:ascii="Courier New" w:hAnsi="Courier New" w:cs="Courier New"/>
        </w:rPr>
      </w:pPr>
      <w:r>
        <w:rPr>
          <w:rFonts w:cs="Courier New" w:ascii="Courier New" w:hAnsi="Courier New"/>
        </w:rPr>
        <w:t>Section 3.  Section 348.2 is added to the Public Utilities Code, to read:</w:t>
      </w:r>
    </w:p>
    <w:p>
      <w:pPr>
        <w:pStyle w:val="Normal"/>
        <w:tabs>
          <w:tab w:val="clear" w:pos="720"/>
          <w:tab w:val="left" w:pos="1056" w:leader="none"/>
          <w:tab w:val="left" w:pos="2112" w:leader="none"/>
          <w:tab w:val="left" w:pos="3168" w:leader="none"/>
          <w:tab w:val="left" w:pos="4224" w:leader="none"/>
          <w:tab w:val="left" w:pos="5280" w:leader="none"/>
          <w:tab w:val="left" w:pos="6336" w:leader="none"/>
          <w:tab w:val="left" w:pos="7392" w:leader="none"/>
          <w:tab w:val="left" w:pos="8448" w:leader="none"/>
          <w:tab w:val="left" w:pos="9504" w:leader="none"/>
          <w:tab w:val="left" w:pos="10560" w:leader="none"/>
          <w:tab w:val="left" w:pos="11616" w:leader="none"/>
          <w:tab w:val="left" w:pos="12672" w:leader="none"/>
          <w:tab w:val="left" w:pos="13728" w:leader="none"/>
          <w:tab w:val="left" w:pos="14784" w:leader="none"/>
          <w:tab w:val="left" w:pos="15840" w:leader="none"/>
          <w:tab w:val="left" w:pos="16896" w:leader="none"/>
          <w:tab w:val="left" w:pos="17952" w:leader="none"/>
          <w:tab w:val="left" w:pos="19008" w:leader="none"/>
          <w:tab w:val="left" w:pos="20064" w:leader="none"/>
        </w:tabs>
        <w:rPr>
          <w:rFonts w:ascii="Courier New" w:hAnsi="Courier New" w:cs="Courier New"/>
        </w:rPr>
      </w:pPr>
      <w:r>
        <w:rPr>
          <w:rFonts w:cs="Courier New" w:ascii="Courier New" w:hAnsi="Courier New"/>
        </w:rPr>
      </w:r>
    </w:p>
    <w:p>
      <w:pPr>
        <w:pStyle w:val="Normal"/>
        <w:rPr/>
      </w:pPr>
      <w:r>
        <w:rPr>
          <w:rFonts w:cs="Courier New" w:ascii="Courier New" w:hAnsi="Courier New"/>
        </w:rPr>
        <w:t xml:space="preserve">348.2 Any person owning or operating a generation facility subject to the provisions of section 342 of this division which is found by the Independent System Operator, after conducting a hearing on the matter at which such person has an opportunity to present evidence on its behalf, to have engaged in physical withholding of output as defined herein is subject to a penalty of not less than five hundred dollars ($500) and not more than twenty thousand ($20,000) </w:t>
      </w:r>
      <w:commentRangeStart w:id="4"/>
      <w:r>
        <w:rPr>
          <w:rFonts w:cs="Courier New" w:ascii="Courier New" w:hAnsi="Courier New"/>
        </w:rPr>
        <w:t>for each violation</w:t>
      </w:r>
      <w:r>
        <w:rPr>
          <w:rStyle w:val="CommentReference"/>
          <w:vanish w:val="false"/>
        </w:rPr>
      </w:r>
      <w:commentRangeEnd w:id="4"/>
      <w:r>
        <w:commentReference w:id="4"/>
      </w:r>
      <w:r>
        <w:rPr>
          <w:rFonts w:cs="Courier New" w:ascii="Courier New" w:hAnsi="Courier New"/>
        </w:rPr>
        <w:t xml:space="preserve">.  Actions by the Independent System Operator to recover penalties under this section shall be brought in the superior court in and for the county, or city and county, in which the generation facility is located.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ndrew Brown" w:date="0-00-00T00:00:00Z" w:initials="ABB">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It you wanted to get to other facilities outside California, you might consider reaching them through the “Scheduling Coordinator Agreements”, although this would be a large can of worms …</w:t>
      </w:r>
    </w:p>
  </w:comment>
  <w:comment w:id="1" w:author="Andrew Brown" w:date="0-00-00T00:00:00Z" w:initials="ABB">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 xml:space="preserve">this is an idea we can discuss.  </w:t>
      </w:r>
    </w:p>
  </w:comment>
  <w:comment w:id="2" w:author="Andrew Brown" w:date="0-00-00T00:00:00Z" w:initials="ABB">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We can discuss the politics of this, but my sense is that we can argue this would slow down the process and potentially negate the work done at ISO by “the professionals.”   Alternatively, not giving EOB something here might not give enough to the politicians.</w:t>
      </w:r>
    </w:p>
  </w:comment>
  <w:comment w:id="3" w:author="Andrew Brown" w:date="0-00-00T00:00:00Z" w:initials="ABB">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I’ve heard comments both ways on this.  Issue is whether the initial report goes out publically in all cases.  There could be some commercial value there, but that might be outweighted by the PR value of getting cleared of implicit allegations.</w:t>
      </w:r>
    </w:p>
  </w:comment>
  <w:comment w:id="4" w:author="Andrew Brown" w:date="0-00-00T00:00:00Z" w:initials="ABB">
    <w:p>
      <w:pPr>
        <w:overflowPunct w:val="false"/>
        <w:bidi w:val="0"/>
        <w:rPr/>
      </w:pPr>
      <w:r>
        <w:annotationRef/>
      </w:r>
      <w:r>
        <w:rPr>
          <w:rFonts w:ascii="Times New Roman" w:hAnsi="Times New Roman" w:eastAsia="Times New Roman" w:cs="Times New Roman"/>
          <w:color w:val="auto"/>
          <w:sz w:val="20"/>
          <w:szCs w:val="20"/>
          <w:lang w:eastAsia="en-US" w:val="en-US" w:bidi="ar-SA"/>
        </w:rPr>
        <w:t>Page: 1</w:t>
      </w:r>
    </w:p>
    <w:p>
      <w:pPr>
        <w:overflowPunct w:val="false"/>
        <w:bidi w:val="0"/>
        <w:rPr/>
      </w:pPr>
      <w:r>
        <w:rPr>
          <w:rFonts w:ascii="Times New Roman" w:hAnsi="Times New Roman" w:eastAsia="Times New Roman" w:cs="Times New Roman"/>
          <w:color w:val="auto"/>
          <w:sz w:val="20"/>
          <w:szCs w:val="20"/>
          <w:lang w:eastAsia="en-US" w:val="en-US" w:bidi="ar-SA"/>
        </w:rPr>
        <w:t>Do we want to define each instance?  This could be on an hourly basis if each bid is considered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paragraph" w:styleId="CommentText">
    <w:name w:val="Comment Text"/>
    <w:basedOn w:val="Normal"/>
    <w:qFormat/>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2001-03-02T22:29:00Z</dcterms:created>
  <dc:creator>Doug Kerner</dc:creator>
  <dc:description/>
  <dc:language>en-CA</dc:language>
  <cp:lastModifiedBy>J Malinowski-Ball</cp:lastModifiedBy>
  <dcterms:modified xsi:type="dcterms:W3CDTF">2001-03-02T22:29:00Z</dcterms:modified>
  <cp:revision>2</cp:revision>
  <dc:subject/>
  <dc:title>348</dc:title>
</cp:coreProperties>
</file>