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0"/>
        <w:jc w:val="start"/>
        <w:rPr/>
      </w:pPr>
      <w:r>
        <w:rPr/>
      </w:r>
    </w:p>
    <w:p>
      <w:pPr>
        <w:pStyle w:val="Normal"/>
        <w:bidi w:val="0"/>
        <w:ind w:hanging="0" w:start="0" w:end="0"/>
        <w:jc w:val="start"/>
        <w:rPr/>
      </w:pPr>
      <w:r>
        <w:rPr/>
      </w:r>
    </w:p>
    <w:p>
      <w:pPr>
        <w:pStyle w:val="Normal"/>
        <w:bidi w:val="0"/>
        <w:ind w:hanging="0" w:start="0" w:end="0"/>
        <w:jc w:val="start"/>
        <w:rPr/>
      </w:pPr>
      <w:r>
        <w:rPr/>
      </w:r>
    </w:p>
    <w:p>
      <w:pPr>
        <w:pStyle w:val="Normal"/>
        <w:bidi w:val="0"/>
        <w:ind w:hanging="0" w:start="0" w:end="0"/>
        <w:jc w:val="start"/>
        <w:rPr/>
      </w:pPr>
      <w:r>
        <w:rPr/>
      </w:r>
    </w:p>
    <w:p>
      <w:pPr>
        <w:pStyle w:val="Normal"/>
        <w:bidi w:val="0"/>
        <w:ind w:hanging="0" w:start="0" w:end="0"/>
        <w:jc w:val="start"/>
        <w:rPr/>
      </w:pPr>
      <w:r>
        <w:rPr/>
      </w:r>
    </w:p>
    <w:p>
      <w:pPr>
        <w:pStyle w:val="Normal"/>
        <w:bidi w:val="0"/>
        <w:ind w:hanging="0" w:start="0" w:end="0"/>
        <w:jc w:val="start"/>
        <w:rPr/>
      </w:pPr>
      <w:r>
        <w:rPr/>
      </w:r>
    </w:p>
    <w:p>
      <w:pPr>
        <w:pStyle w:val="Normal"/>
        <w:bidi w:val="0"/>
        <w:ind w:hanging="0" w:start="0" w:end="0"/>
        <w:jc w:val="start"/>
        <w:rPr/>
      </w:pPr>
      <w:r>
        <w:rPr/>
      </w:r>
    </w:p>
    <w:p>
      <w:pPr>
        <w:pStyle w:val="Normal"/>
        <w:bidi w:val="0"/>
        <w:ind w:hanging="0" w:start="0" w:end="0"/>
        <w:jc w:val="start"/>
        <w:rPr/>
      </w:pPr>
      <w:r>
        <w:rPr/>
      </w:r>
    </w:p>
    <w:p>
      <w:pPr>
        <w:pStyle w:val="Normal"/>
        <w:bidi w:val="0"/>
        <w:ind w:hanging="0" w:start="0" w:end="0"/>
        <w:jc w:val="start"/>
        <w:rPr/>
      </w:pPr>
      <w:r>
        <w:rPr/>
      </w:r>
    </w:p>
    <w:p>
      <w:pPr>
        <w:pStyle w:val="Normal"/>
        <w:bidi w:val="0"/>
        <w:ind w:hanging="0" w:start="0" w:end="0"/>
        <w:jc w:val="start"/>
        <w:rPr/>
      </w:pPr>
      <w:r>
        <w:rPr/>
      </w:r>
    </w:p>
    <w:p>
      <w:pPr>
        <w:pStyle w:val="Normal"/>
        <w:bidi w:val="0"/>
        <w:ind w:hanging="0" w:start="0" w:end="0"/>
        <w:jc w:val="start"/>
        <w:rPr/>
      </w:pPr>
      <w:r>
        <w:rPr/>
      </w:r>
    </w:p>
    <w:p>
      <w:pPr>
        <w:pStyle w:val="Normal"/>
        <w:bidi w:val="0"/>
        <w:ind w:hanging="0" w:start="0" w:end="0"/>
        <w:jc w:val="center"/>
        <w:rPr>
          <w:rFonts w:ascii="Times New Roman" w:hAnsi="Times New Roman"/>
          <w:b/>
          <w:sz w:val="18"/>
        </w:rPr>
      </w:pPr>
      <w:r>
        <w:rPr>
          <w:rFonts w:ascii="Times New Roman" w:hAnsi="Times New Roman"/>
          <w:b/>
          <w:sz w:val="18"/>
        </w:rPr>
        <w:t>E-Mail: aafrost@brugen.com</w:t>
      </w:r>
    </w:p>
    <w:p>
      <w:pPr>
        <w:pStyle w:val="Normal"/>
        <w:bidi w:val="0"/>
        <w:ind w:hanging="0" w:start="0" w:end="0"/>
        <w:jc w:val="center"/>
        <w:rPr/>
      </w:pPr>
      <w:r>
        <w:rPr/>
      </w:r>
    </w:p>
    <w:p>
      <w:pPr>
        <w:pStyle w:val="Normal"/>
        <w:bidi w:val="0"/>
        <w:ind w:hanging="0" w:start="0" w:end="0"/>
        <w:jc w:val="center"/>
        <w:rPr/>
      </w:pPr>
      <w:r>
        <w:rPr/>
        <w:t>March 1, 2000</w:t>
      </w:r>
    </w:p>
    <w:p>
      <w:pPr>
        <w:pStyle w:val="Normal"/>
        <w:bidi w:val="0"/>
        <w:ind w:hanging="0" w:start="0" w:end="0"/>
        <w:jc w:val="center"/>
        <w:rPr/>
      </w:pPr>
      <w:r>
        <w:rPr/>
      </w:r>
    </w:p>
    <w:p>
      <w:pPr>
        <w:pStyle w:val="Normal"/>
        <w:bidi w:val="0"/>
        <w:ind w:hanging="0" w:start="0" w:end="0"/>
        <w:jc w:val="center"/>
        <w:rPr/>
      </w:pPr>
      <w:r>
        <w:rPr/>
      </w:r>
    </w:p>
    <w:p>
      <w:pPr>
        <w:pStyle w:val="Header"/>
        <w:tabs>
          <w:tab w:val="clear" w:pos="4320"/>
          <w:tab w:val="clear" w:pos="8640"/>
        </w:tabs>
        <w:bidi w:val="0"/>
        <w:jc w:val="start"/>
        <w:rPr/>
      </w:pPr>
      <w:r>
        <w:rPr/>
        <w:t>Andrew S. Katz</w:t>
      </w:r>
    </w:p>
    <w:p>
      <w:pPr>
        <w:pStyle w:val="Header"/>
        <w:tabs>
          <w:tab w:val="clear" w:pos="4320"/>
          <w:tab w:val="clear" w:pos="8640"/>
        </w:tabs>
        <w:bidi w:val="0"/>
        <w:jc w:val="start"/>
        <w:rPr/>
      </w:pPr>
      <w:r>
        <w:rPr/>
        <w:t>Senior Attorney</w:t>
      </w:r>
    </w:p>
    <w:p>
      <w:pPr>
        <w:pStyle w:val="Header"/>
        <w:tabs>
          <w:tab w:val="clear" w:pos="4320"/>
          <w:tab w:val="clear" w:pos="8640"/>
        </w:tabs>
        <w:bidi w:val="0"/>
        <w:jc w:val="start"/>
        <w:rPr/>
      </w:pPr>
      <w:r>
        <w:rPr/>
        <w:t>Edison Electric Institute</w:t>
      </w:r>
    </w:p>
    <w:p>
      <w:pPr>
        <w:pStyle w:val="Header"/>
        <w:tabs>
          <w:tab w:val="clear" w:pos="4320"/>
          <w:tab w:val="clear" w:pos="8640"/>
        </w:tabs>
        <w:bidi w:val="0"/>
        <w:jc w:val="start"/>
        <w:rPr/>
      </w:pPr>
      <w:r>
        <w:rPr/>
        <w:t>701 Pennsylvania Avenue, N. W.</w:t>
      </w:r>
    </w:p>
    <w:p>
      <w:pPr>
        <w:pStyle w:val="Header"/>
        <w:tabs>
          <w:tab w:val="clear" w:pos="4320"/>
          <w:tab w:val="clear" w:pos="8640"/>
        </w:tabs>
        <w:bidi w:val="0"/>
        <w:jc w:val="start"/>
        <w:rPr/>
      </w:pPr>
      <w:r>
        <w:rPr/>
        <w:t>Washington, D.C.  20004</w:t>
      </w:r>
    </w:p>
    <w:p>
      <w:pPr>
        <w:pStyle w:val="Header"/>
        <w:tabs>
          <w:tab w:val="clear" w:pos="4320"/>
          <w:tab w:val="clear" w:pos="8640"/>
        </w:tabs>
        <w:bidi w:val="0"/>
        <w:jc w:val="start"/>
        <w:rPr/>
      </w:pPr>
      <w:r>
        <w:rPr/>
      </w:r>
    </w:p>
    <w:p>
      <w:pPr>
        <w:pStyle w:val="Header"/>
        <w:tabs>
          <w:tab w:val="clear" w:pos="4320"/>
          <w:tab w:val="clear" w:pos="8640"/>
        </w:tabs>
        <w:bidi w:val="0"/>
        <w:jc w:val="start"/>
        <w:rPr/>
      </w:pPr>
      <w:r>
        <w:rPr/>
      </w:r>
    </w:p>
    <w:p>
      <w:pPr>
        <w:pStyle w:val="Header"/>
        <w:tabs>
          <w:tab w:val="clear" w:pos="4320"/>
          <w:tab w:val="clear" w:pos="8640"/>
        </w:tabs>
        <w:bidi w:val="0"/>
        <w:jc w:val="start"/>
        <w:rPr/>
      </w:pPr>
      <w:r>
        <w:rPr/>
        <w:tab/>
      </w:r>
      <w:r>
        <w:rPr>
          <w:b/>
          <w:i/>
        </w:rPr>
        <w:t>Regarding:</w:t>
      </w:r>
      <w:r>
        <w:rPr/>
        <w:t xml:space="preserve">  </w:t>
      </w:r>
      <w:r>
        <w:rPr>
          <w:b/>
        </w:rPr>
        <w:t>Model Short-form Utility Tariff</w:t>
      </w:r>
    </w:p>
    <w:p>
      <w:pPr>
        <w:pStyle w:val="Header"/>
        <w:tabs>
          <w:tab w:val="clear" w:pos="4320"/>
          <w:tab w:val="clear" w:pos="8640"/>
        </w:tabs>
        <w:bidi w:val="0"/>
        <w:jc w:val="start"/>
        <w:rPr/>
      </w:pPr>
      <w:r>
        <w:rPr/>
      </w:r>
    </w:p>
    <w:p>
      <w:pPr>
        <w:pStyle w:val="Header"/>
        <w:tabs>
          <w:tab w:val="clear" w:pos="4320"/>
          <w:tab w:val="clear" w:pos="8640"/>
        </w:tabs>
        <w:bidi w:val="0"/>
        <w:jc w:val="start"/>
        <w:rPr/>
      </w:pPr>
      <w:r>
        <w:rPr/>
        <w:t>Dear Andy,</w:t>
      </w:r>
    </w:p>
    <w:p>
      <w:pPr>
        <w:pStyle w:val="Header"/>
        <w:tabs>
          <w:tab w:val="clear" w:pos="4320"/>
          <w:tab w:val="clear" w:pos="8640"/>
        </w:tabs>
        <w:bidi w:val="0"/>
        <w:jc w:val="start"/>
        <w:rPr/>
      </w:pPr>
      <w:r>
        <w:rPr/>
      </w:r>
    </w:p>
    <w:p>
      <w:pPr>
        <w:pStyle w:val="Header"/>
        <w:tabs>
          <w:tab w:val="clear" w:pos="4320"/>
          <w:tab w:val="clear" w:pos="8640"/>
        </w:tabs>
        <w:bidi w:val="0"/>
        <w:jc w:val="start"/>
        <w:rPr/>
      </w:pPr>
      <w:r>
        <w:rPr/>
        <w:tab/>
        <w:t>Enclosed please find a model short-form utility tariff to be used by utilities in conjunction with the EEI wholesale standardized electric contract (“EEI contract”).  We developed this model tariff with a coalition of utilities that we represent regarding the EEI contract.  This model tariff was circulated to the EEI contract working group and reflects the comments of working group members.  While we call this a short-form utility tariff, we believe this model is widely applicable for all market participants.  Each market participant will select the tariff provisions that are appropriate for its circumstances.</w:t>
      </w:r>
    </w:p>
    <w:p>
      <w:pPr>
        <w:pStyle w:val="Header"/>
        <w:tabs>
          <w:tab w:val="clear" w:pos="4320"/>
          <w:tab w:val="clear" w:pos="8640"/>
        </w:tabs>
        <w:bidi w:val="0"/>
        <w:jc w:val="start"/>
        <w:rPr/>
      </w:pPr>
      <w:r>
        <w:rPr/>
      </w:r>
    </w:p>
    <w:p>
      <w:pPr>
        <w:pStyle w:val="Header"/>
        <w:tabs>
          <w:tab w:val="clear" w:pos="4320"/>
          <w:tab w:val="clear" w:pos="8640"/>
        </w:tabs>
        <w:bidi w:val="0"/>
        <w:jc w:val="start"/>
        <w:rPr/>
      </w:pPr>
      <w:r>
        <w:rPr/>
        <w:tab/>
        <w:t xml:space="preserve">The model tariff includes provisions regarding sales of ancillary services at market-based rates, transmission reassignment, affiliate power sales and a code of conduct.  The Commission accepted the streamlined provision regarding sales of ancillary services into markets under the control of the New England Power Pool, PJM Interconnection, LLC, New York Independent System Operator, and California Independent System Operator (Option 2 in Section II.2) in </w:t>
      </w:r>
      <w:r>
        <w:rPr>
          <w:i/>
        </w:rPr>
        <w:t>PECO Energy Company</w:t>
      </w:r>
      <w:r>
        <w:rPr/>
        <w:t>, Docket No. ER00-1089-000 on February 17, 2000.  Utilities that file the model tariff should reference that order in their transmittal letters.</w:t>
      </w:r>
      <w:r>
        <w:br w:type="page"/>
      </w:r>
    </w:p>
    <w:p>
      <w:pPr>
        <w:pStyle w:val="Header"/>
        <w:tabs>
          <w:tab w:val="clear" w:pos="4320"/>
          <w:tab w:val="clear" w:pos="8640"/>
        </w:tabs>
        <w:bidi w:val="0"/>
        <w:jc w:val="start"/>
        <w:rPr/>
      </w:pPr>
      <w:r>
        <w:rPr/>
        <w:tab/>
        <w:t>Any person with questions regarding the model tariff should feel free to call us.</w:t>
      </w:r>
    </w:p>
    <w:p>
      <w:pPr>
        <w:pStyle w:val="Header"/>
        <w:tabs>
          <w:tab w:val="clear" w:pos="4320"/>
          <w:tab w:val="clear" w:pos="8640"/>
        </w:tabs>
        <w:bidi w:val="0"/>
        <w:jc w:val="start"/>
        <w:rPr/>
      </w:pPr>
      <w:r>
        <w:rPr/>
      </w:r>
    </w:p>
    <w:p>
      <w:pPr>
        <w:pStyle w:val="Header"/>
        <w:tabs>
          <w:tab w:val="clear" w:pos="4320"/>
          <w:tab w:val="clear" w:pos="8640"/>
        </w:tabs>
        <w:bidi w:val="0"/>
        <w:jc w:val="start"/>
        <w:rPr/>
      </w:pPr>
      <w:r>
        <w:rPr/>
      </w:r>
    </w:p>
    <w:p>
      <w:pPr>
        <w:pStyle w:val="Header"/>
        <w:tabs>
          <w:tab w:val="clear" w:pos="4320"/>
          <w:tab w:val="clear" w:pos="8640"/>
        </w:tabs>
        <w:bidi w:val="0"/>
        <w:jc w:val="start"/>
        <w:rPr/>
      </w:pPr>
      <w:r>
        <w:rPr/>
        <w:tab/>
        <w:tab/>
        <w:tab/>
        <w:tab/>
        <w:tab/>
        <w:tab/>
        <w:t>Very truly yours,</w:t>
      </w:r>
    </w:p>
    <w:p>
      <w:pPr>
        <w:pStyle w:val="Header"/>
        <w:tabs>
          <w:tab w:val="clear" w:pos="4320"/>
          <w:tab w:val="clear" w:pos="8640"/>
        </w:tabs>
        <w:bidi w:val="0"/>
        <w:jc w:val="start"/>
        <w:rPr/>
      </w:pPr>
      <w:r>
        <w:rPr/>
      </w:r>
    </w:p>
    <w:p>
      <w:pPr>
        <w:pStyle w:val="Header"/>
        <w:tabs>
          <w:tab w:val="clear" w:pos="4320"/>
          <w:tab w:val="clear" w:pos="8640"/>
        </w:tabs>
        <w:bidi w:val="0"/>
        <w:jc w:val="start"/>
        <w:rPr/>
      </w:pPr>
      <w:r>
        <w:rPr/>
        <w:tab/>
        <w:tab/>
        <w:tab/>
        <w:tab/>
        <w:tab/>
        <w:tab/>
        <w:t>BRUDER, GENTILE &amp; MARCOUX, LLP</w:t>
      </w:r>
    </w:p>
    <w:p>
      <w:pPr>
        <w:pStyle w:val="Header"/>
        <w:tabs>
          <w:tab w:val="clear" w:pos="4320"/>
          <w:tab w:val="clear" w:pos="8640"/>
        </w:tabs>
        <w:bidi w:val="0"/>
        <w:jc w:val="start"/>
        <w:rPr/>
      </w:pPr>
      <w:r>
        <w:rPr/>
      </w:r>
    </w:p>
    <w:p>
      <w:pPr>
        <w:pStyle w:val="Header"/>
        <w:tabs>
          <w:tab w:val="clear" w:pos="4320"/>
          <w:tab w:val="clear" w:pos="8640"/>
        </w:tabs>
        <w:bidi w:val="0"/>
        <w:jc w:val="start"/>
        <w:rPr/>
      </w:pPr>
      <w:r>
        <w:rPr/>
      </w:r>
    </w:p>
    <w:p>
      <w:pPr>
        <w:pStyle w:val="Header"/>
        <w:tabs>
          <w:tab w:val="clear" w:pos="4320"/>
          <w:tab w:val="clear" w:pos="8640"/>
        </w:tabs>
        <w:bidi w:val="0"/>
        <w:jc w:val="start"/>
        <w:rPr/>
      </w:pPr>
      <w:r>
        <w:rPr/>
        <w:tab/>
        <w:tab/>
        <w:tab/>
        <w:tab/>
        <w:tab/>
        <w:tab/>
      </w:r>
      <w:r>
        <w:rPr>
          <w:u w:val="single"/>
        </w:rPr>
        <w:tab/>
        <w:tab/>
        <w:tab/>
        <w:tab/>
        <w:tab/>
        <w:tab/>
      </w:r>
    </w:p>
    <w:p>
      <w:pPr>
        <w:pStyle w:val="Header"/>
        <w:tabs>
          <w:tab w:val="clear" w:pos="4320"/>
          <w:tab w:val="clear" w:pos="8640"/>
        </w:tabs>
        <w:bidi w:val="0"/>
        <w:jc w:val="start"/>
        <w:rPr/>
      </w:pPr>
      <w:r>
        <w:rPr/>
      </w:r>
    </w:p>
    <w:p>
      <w:pPr>
        <w:pStyle w:val="Header"/>
        <w:tabs>
          <w:tab w:val="clear" w:pos="4320"/>
          <w:tab w:val="clear" w:pos="8640"/>
        </w:tabs>
        <w:bidi w:val="0"/>
        <w:jc w:val="start"/>
        <w:rPr/>
      </w:pPr>
      <w:r>
        <w:rPr/>
        <w:tab/>
        <w:tab/>
        <w:tab/>
        <w:tab/>
        <w:tab/>
        <w:tab/>
        <w:t>Thomas L. Blackburn</w:t>
      </w:r>
    </w:p>
    <w:p>
      <w:pPr>
        <w:pStyle w:val="Header"/>
        <w:tabs>
          <w:tab w:val="clear" w:pos="4320"/>
          <w:tab w:val="clear" w:pos="8640"/>
        </w:tabs>
        <w:bidi w:val="0"/>
        <w:ind w:firstLine="720" w:start="0" w:end="0"/>
        <w:jc w:val="start"/>
        <w:rPr/>
      </w:pPr>
      <w:r>
        <w:rPr/>
        <w:tab/>
        <w:tab/>
        <w:tab/>
        <w:tab/>
        <w:tab/>
        <w:t>Antonia A. Frost</w:t>
      </w:r>
    </w:p>
    <w:p>
      <w:pPr>
        <w:pStyle w:val="Header"/>
        <w:tabs>
          <w:tab w:val="clear" w:pos="4320"/>
          <w:tab w:val="clear" w:pos="8640"/>
        </w:tabs>
        <w:bidi w:val="0"/>
        <w:ind w:firstLine="720" w:start="0" w:end="0"/>
        <w:jc w:val="start"/>
        <w:rPr/>
      </w:pPr>
      <w:r>
        <w:rPr/>
      </w:r>
    </w:p>
    <w:p>
      <w:pPr>
        <w:pStyle w:val="Header"/>
        <w:tabs>
          <w:tab w:val="clear" w:pos="4320"/>
          <w:tab w:val="clear" w:pos="8640"/>
        </w:tabs>
        <w:bidi w:val="0"/>
        <w:ind w:firstLine="720" w:start="0" w:end="0"/>
        <w:jc w:val="start"/>
        <w:rPr/>
      </w:pPr>
      <w:r>
        <w:rPr/>
      </w:r>
    </w:p>
    <w:p>
      <w:pPr>
        <w:pStyle w:val="Header"/>
        <w:tabs>
          <w:tab w:val="clear" w:pos="4320"/>
          <w:tab w:val="clear" w:pos="8640"/>
        </w:tabs>
        <w:bidi w:val="0"/>
        <w:ind w:firstLine="720" w:start="0" w:end="0"/>
        <w:jc w:val="start"/>
        <w:rPr/>
      </w:pPr>
      <w:r>
        <w:rPr/>
        <w:tab/>
        <w:tab/>
        <w:tab/>
        <w:tab/>
        <w:t xml:space="preserve">Counsel for Coalition of Utilities re the Wholesale </w:t>
      </w:r>
    </w:p>
    <w:p>
      <w:pPr>
        <w:pStyle w:val="Header"/>
        <w:tabs>
          <w:tab w:val="clear" w:pos="4320"/>
          <w:tab w:val="clear" w:pos="8640"/>
        </w:tabs>
        <w:bidi w:val="0"/>
        <w:ind w:firstLine="720" w:start="3600" w:end="0"/>
        <w:jc w:val="start"/>
        <w:rPr/>
      </w:pPr>
      <w:r>
        <w:rPr/>
        <w:t>Standardized Electric Contract</w:t>
        <w:tab/>
        <w:tab/>
      </w:r>
    </w:p>
    <w:p>
      <w:pPr>
        <w:pStyle w:val="Header"/>
        <w:tabs>
          <w:tab w:val="clear" w:pos="4320"/>
          <w:tab w:val="clear" w:pos="8640"/>
        </w:tabs>
        <w:bidi w:val="0"/>
        <w:jc w:val="start"/>
        <w:rPr/>
      </w:pPr>
      <w:r>
        <w:rPr/>
        <w:tab/>
        <w:tab/>
        <w:tab/>
        <w:tab/>
        <w:tab/>
        <w:tab/>
        <w:tab/>
        <w:tab/>
        <w:tab/>
        <w:tab/>
        <w:tab/>
        <w:tab/>
      </w:r>
    </w:p>
    <w:p>
      <w:pPr>
        <w:pStyle w:val="Header"/>
        <w:tabs>
          <w:tab w:val="clear" w:pos="4320"/>
          <w:tab w:val="clear" w:pos="8640"/>
        </w:tabs>
        <w:bidi w:val="0"/>
        <w:jc w:val="start"/>
        <w:rPr/>
      </w:pPr>
      <w:r>
        <w:rPr/>
      </w:r>
    </w:p>
    <w:p>
      <w:pPr>
        <w:pStyle w:val="Header"/>
        <w:tabs>
          <w:tab w:val="clear" w:pos="4320"/>
          <w:tab w:val="clear" w:pos="8640"/>
        </w:tabs>
        <w:bidi w:val="0"/>
        <w:jc w:val="start"/>
        <w:rPr/>
      </w:pPr>
      <w:r>
        <w:rPr/>
        <w:tab/>
        <w:tab/>
        <w:tab/>
        <w:tab/>
        <w:tab/>
      </w:r>
    </w:p>
    <w:p>
      <w:pPr>
        <w:pStyle w:val="Header"/>
        <w:tabs>
          <w:tab w:val="clear" w:pos="4320"/>
          <w:tab w:val="clear" w:pos="8640"/>
        </w:tabs>
        <w:bidi w:val="0"/>
        <w:jc w:val="start"/>
        <w:rPr/>
      </w:pPr>
      <w:r>
        <w:rPr/>
      </w:r>
    </w:p>
    <w:p>
      <w:pPr>
        <w:pStyle w:val="Header"/>
        <w:tabs>
          <w:tab w:val="clear" w:pos="4320"/>
          <w:tab w:val="clear" w:pos="8640"/>
        </w:tabs>
        <w:bidi w:val="0"/>
        <w:jc w:val="start"/>
        <w:rPr/>
      </w:pPr>
      <w:r>
        <w:rPr/>
        <w:tab/>
        <w:tab/>
        <w:tab/>
        <w:tab/>
        <w:tab/>
        <w:tab/>
        <w:tab/>
      </w:r>
    </w:p>
    <w:p>
      <w:pPr>
        <w:pStyle w:val="Header"/>
        <w:tabs>
          <w:tab w:val="clear" w:pos="4320"/>
          <w:tab w:val="clear" w:pos="8640"/>
        </w:tabs>
        <w:bidi w:val="0"/>
        <w:jc w:val="start"/>
        <w:rPr/>
      </w:pPr>
      <w:r>
        <w:rPr/>
      </w:r>
    </w:p>
    <w:p>
      <w:pPr>
        <w:pStyle w:val="Header"/>
        <w:tabs>
          <w:tab w:val="clear" w:pos="4320"/>
          <w:tab w:val="clear" w:pos="8640"/>
        </w:tabs>
        <w:bidi w:val="0"/>
        <w:jc w:val="start"/>
        <w:rPr/>
      </w:pPr>
      <w:r>
        <w:rPr/>
        <w:t>Enclosure</w:t>
      </w:r>
    </w:p>
    <w:p>
      <w:pPr>
        <w:pStyle w:val="Header"/>
        <w:tabs>
          <w:tab w:val="clear" w:pos="4320"/>
          <w:tab w:val="clear" w:pos="8640"/>
        </w:tabs>
        <w:bidi w:val="0"/>
        <w:jc w:val="start"/>
        <w:rPr/>
      </w:pPr>
      <w:r>
        <w:rPr/>
      </w:r>
    </w:p>
    <w:p>
      <w:pPr>
        <w:pStyle w:val="Header"/>
        <w:tabs>
          <w:tab w:val="clear" w:pos="4320"/>
          <w:tab w:val="clear" w:pos="8640"/>
        </w:tabs>
        <w:bidi w:val="0"/>
        <w:jc w:val="start"/>
        <w:rPr/>
      </w:pPr>
      <w:r>
        <w:rPr/>
      </w:r>
    </w:p>
    <w:p>
      <w:pPr>
        <w:pStyle w:val="Normal"/>
        <w:bidi w:val="0"/>
        <w:ind w:hanging="0" w:start="0" w:end="0"/>
        <w:jc w:val="start"/>
        <w:rPr/>
      </w:pPr>
      <w:r>
        <w:rPr/>
      </w:r>
    </w:p>
    <w:p>
      <w:pPr>
        <w:pStyle w:val="Normal"/>
        <w:bidi w:val="0"/>
        <w:ind w:hanging="0" w:start="0" w:end="0"/>
        <w:jc w:val="center"/>
        <w:rPr/>
      </w:pPr>
      <w:r>
        <w:rPr/>
      </w:r>
    </w:p>
    <w:p>
      <w:pPr>
        <w:pStyle w:val="Normal"/>
        <w:bidi w:val="0"/>
        <w:ind w:hanging="0" w:start="0" w:end="0"/>
        <w:jc w:val="start"/>
        <w:rPr/>
      </w:pPr>
      <w:r>
        <w:rPr/>
      </w:r>
    </w:p>
    <w:p>
      <w:pPr>
        <w:pStyle w:val="Normal"/>
        <w:bidi w:val="0"/>
        <w:ind w:hanging="0" w:start="0" w:end="0"/>
        <w:jc w:val="start"/>
        <w:rPr/>
      </w:pPr>
      <w:r>
        <w:rPr/>
      </w:r>
    </w:p>
    <w:p>
      <w:pPr>
        <w:pStyle w:val="Normal"/>
        <w:bidi w:val="0"/>
        <w:ind w:hanging="0" w:start="0" w:end="0"/>
        <w:jc w:val="start"/>
        <w:rPr/>
      </w:pPr>
      <w:r>
        <w:rPr/>
      </w:r>
    </w:p>
    <w:sectPr>
      <w:headerReference w:type="even" r:id="rId2"/>
      <w:headerReference w:type="default" r:id="rId3"/>
      <w:headerReference w:type="first" r:id="rId4"/>
      <w:type w:val="nextPage"/>
      <w:pgSz w:w="12240" w:h="15840"/>
      <w:pgMar w:left="1440" w:right="1440" w:gutter="0" w:header="720" w:top="777" w:footer="0" w:bottom="1152"/>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0" w:end="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163" w:leader="none"/>
      </w:tabs>
      <w:bidi w:val="0"/>
      <w:jc w:val="start"/>
      <w:rPr/>
    </w:pPr>
    <w:r>
      <w:rPr/>
      <w:tab/>
      <w:tab/>
    </w:r>
  </w:p>
  <w:p>
    <w:pPr>
      <w:pStyle w:val="Header"/>
      <w:tabs>
        <w:tab w:val="clear" w:pos="8640"/>
        <w:tab w:val="center" w:pos="4320" w:leader="none"/>
        <w:tab w:val="right" w:pos="9163" w:leader="none"/>
      </w:tabs>
      <w:bidi w:val="0"/>
      <w:jc w:val="start"/>
      <w:rPr/>
    </w:pPr>
    <w:r>
      <w:rPr/>
      <w:t>To:  Andrew S. Katz, Esquire</w:t>
    </w:r>
  </w:p>
  <w:p>
    <w:pPr>
      <w:pStyle w:val="Header"/>
      <w:tabs>
        <w:tab w:val="clear" w:pos="8640"/>
        <w:tab w:val="center" w:pos="4320" w:leader="none"/>
        <w:tab w:val="right" w:pos="9163" w:leader="none"/>
      </w:tabs>
      <w:bidi w:val="0"/>
      <w:jc w:val="start"/>
      <w:rPr/>
    </w:pPr>
    <w:r>
      <w:rPr/>
      <w:t>March 1, 2000</w:t>
      <w:tab/>
      <w:tab/>
    </w:r>
  </w:p>
  <w:p>
    <w:pPr>
      <w:pStyle w:val="Header"/>
      <w:tabs>
        <w:tab w:val="clear" w:pos="8640"/>
        <w:tab w:val="center" w:pos="4320" w:leader="none"/>
        <w:tab w:val="right" w:pos="9163" w:leader="none"/>
      </w:tabs>
      <w:bidi w:val="0"/>
      <w:jc w:val="start"/>
      <w:rPr>
        <w:rStyle w:val="PageNumber"/>
      </w:rPr>
    </w:pPr>
    <w:r>
      <w:rPr/>
      <w:t xml:space="preserve">Page </w:t>
    </w:r>
    <w:r>
      <w:rPr>
        <w:rStyle w:val="PageNumber"/>
        <w:lang w:val="en-US" w:eastAsia="en-US"/>
      </w:rPr>
      <w:fldChar w:fldCharType="begin"/>
    </w:r>
    <w:r>
      <w:rPr>
        <w:rStyle w:val="PageNumber"/>
        <w:lang w:val="en-US" w:eastAsia="en-US"/>
      </w:rPr>
      <w:instrText xml:space="preserve"> PAGE </w:instrText>
    </w:r>
    <w:r>
      <w:rPr>
        <w:rStyle w:val="PageNumber"/>
        <w:lang w:val="en-US" w:eastAsia="en-US"/>
      </w:rPr>
      <w:fldChar w:fldCharType="separate"/>
    </w:r>
    <w:r>
      <w:rPr>
        <w:rStyle w:val="PageNumber"/>
        <w:lang w:val="en-US" w:eastAsia="en-US"/>
      </w:rPr>
      <w:t>2</w:t>
    </w:r>
    <w:r>
      <w:rPr>
        <w:rStyle w:val="PageNumber"/>
        <w:lang w:val="en-US" w:eastAsia="en-US"/>
      </w:rPr>
      <w:fldChar w:fldCharType="end"/>
    </w:r>
    <w:r>
      <w:rPr>
        <w:rStyle w:val="PageNumber"/>
        <w:lang w:val="en-US" w:eastAsia="en-US"/>
      </w:rPr>
      <w:tab/>
      <w:tab/>
    </w:r>
  </w:p>
  <w:p>
    <w:pPr>
      <w:pStyle w:val="Header"/>
      <w:tabs>
        <w:tab w:val="clear" w:pos="8640"/>
        <w:tab w:val="center" w:pos="4320" w:leader="none"/>
        <w:tab w:val="right" w:pos="9163" w:leader="none"/>
      </w:tabs>
      <w:bidi w:val="0"/>
      <w:jc w:val="start"/>
      <w:rPr/>
    </w:pPr>
    <w:r>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67310</wp:posOffset>
              </wp:positionV>
              <wp:extent cx="5937250" cy="7620"/>
              <wp:effectExtent l="14605" t="14605" r="14605" b="14605"/>
              <wp:wrapNone/>
              <wp:docPr id="1" name="Shape1"/>
              <a:graphic xmlns:a="http://schemas.openxmlformats.org/drawingml/2006/main">
                <a:graphicData uri="http://schemas.microsoft.com/office/word/2010/wordprocessingShape">
                  <wps:wsp>
                    <wps:cNvSpPr/>
                    <wps:spPr>
                      <a:xfrm flipV="1">
                        <a:off x="0" y="0"/>
                        <a:ext cx="5937120" cy="7560"/>
                      </a:xfrm>
                      <a:prstGeom prst="line">
                        <a:avLst/>
                      </a:prstGeom>
                      <a:ln w="28440">
                        <a:solidFill>
                          <a:srgbClr val="000000"/>
                        </a:solidFill>
                        <a:round/>
                      </a:ln>
                    </wps:spPr>
                    <wps:style>
                      <a:lnRef idx="0"/>
                      <a:fillRef idx="0"/>
                      <a:effectRef idx="0"/>
                      <a:fontRef idx="minor"/>
                    </wps:style>
                    <wps:bodyPr/>
                  </wps:wsp>
                </a:graphicData>
              </a:graphic>
            </wp:anchor>
          </w:drawing>
        </mc:Choice>
        <mc:Fallback>
          <w:pict>
            <v:line id="shape_0" from="0pt,5.3pt" to="467.45pt,5.85pt" ID="Shape1" stroked="t" o:allowincell="f" style="position:absolute;flip:y">
              <v:stroke color="black" weight="28440" joinstyle="round" endcap="flat"/>
              <v:fill o:detectmouseclick="t" on="false"/>
              <w10:wrap type="none"/>
            </v:line>
          </w:pict>
        </mc:Fallback>
      </mc:AlternateContent>
    </w:r>
  </w:p>
  <w:p>
    <w:pPr>
      <w:pStyle w:val="Header"/>
      <w:tabs>
        <w:tab w:val="clear" w:pos="8640"/>
        <w:tab w:val="center" w:pos="4320" w:leader="none"/>
        <w:tab w:val="right" w:pos="9163" w:leader="none"/>
      </w:tabs>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0" w:end="0"/>
      <w:jc w:val="start"/>
      <w:textAlignment w:val="auto"/>
      <w:rPr/>
    </w:pPr>
    <w:r>
      <w:rPr/>
    </w:r>
  </w:p>
</w:hdr>
</file>

<file path=word/settings.xml><?xml version="1.0" encoding="utf-8"?>
<w:settings xmlns:w="http://schemas.openxmlformats.org/wordprocessingml/2006/main">
  <w:zoom w:percent="83"/>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Arial" w:hAnsi="Arial" w:eastAsia="Times New Roman" w:cs="Times New Roman"/>
      <w:color w:val="auto"/>
      <w:kern w:val="2"/>
      <w:sz w:val="24"/>
      <w:szCs w:val="24"/>
      <w:lang w:val="en-US" w:eastAsia="en-US"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s>
      <w:ind w:hanging="0" w:start="0" w:end="0"/>
      <w:jc w:val="start"/>
      <w:textAlignment w:val="auto"/>
    </w:pPr>
    <w:rPr>
      <w:rFonts w:ascii="Arial" w:hAnsi="Arial"/>
      <w:sz w:val="24"/>
      <w:lang w:val="en-US" w:eastAsia="en-US"/>
    </w:rPr>
  </w:style>
  <w:style w:type="paragraph" w:styleId="FootnoteText">
    <w:name w:val="footnote text"/>
    <w:basedOn w:val="Normal"/>
    <w:pPr>
      <w:widowControl/>
      <w:spacing w:before="0" w:after="60"/>
      <w:ind w:hanging="0" w:start="0" w:end="0"/>
      <w:jc w:val="start"/>
      <w:textAlignment w:val="auto"/>
    </w:pPr>
    <w:rPr>
      <w:rFonts w:ascii="Arial" w:hAnsi="Arial"/>
      <w:sz w:val="20"/>
      <w:lang w:val="en-US" w:eastAsia="en-US"/>
    </w:rPr>
  </w:style>
  <w:style w:type="paragraph" w:styleId="Footer">
    <w:name w:val="footer"/>
    <w:basedOn w:val="Normal"/>
    <w:pPr>
      <w:widowControl/>
      <w:tabs>
        <w:tab w:val="clear" w:pos="720"/>
        <w:tab w:val="center" w:pos="4320" w:leader="none"/>
        <w:tab w:val="right" w:pos="8640" w:leader="none"/>
      </w:tabs>
      <w:ind w:hanging="0" w:start="0" w:end="0"/>
      <w:jc w:val="start"/>
      <w:textAlignment w:val="auto"/>
    </w:pPr>
    <w:rPr>
      <w:rFonts w:ascii="Arial" w:hAnsi="Arial"/>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263</Words>
  <Characters>1843</Characters>
  <CharactersWithSpaces>1501</CharactersWithSpaces>
  <Company>Bruder, Gentile &amp; Marcoux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2000-03-01T17:43:00Z</dcterms:created>
  <dc:creator>Antonia A. Frost</dc:creator>
  <dc:description/>
  <dc:language>en-US</dc:language>
  <cp:lastModifiedBy/>
  <cp:lastPrinted>2000-03-01T17:00:00Z</cp:lastPrinted>
  <dcterms:modified xsi:type="dcterms:W3CDTF">2000-03-01T17:43:00Z</dcterms:modified>
  <cp:revision>2</cp:revision>
  <dc:subject/>
  <dc:title>E-Mail: tlblackburn@brugen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Crystol Wiedeman</vt:lpwstr>
  </property>
</Properties>
</file>