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1638"/>
        <w:gridCol w:w="7218"/>
      </w:tblGrid>
      <w:tr>
        <w:trPr/>
        <w:tc>
          <w:tcPr>
            <w:tcW w:w="1638" w:type="dxa"/>
            <w:tcBorders/>
          </w:tcPr>
          <w:p>
            <w:pPr>
              <w:pStyle w:val="Normal"/>
              <w:spacing w:before="0" w:after="240"/>
              <w:jc w:val="both"/>
              <w:rPr>
                <w:rFonts w:ascii="Arial" w:hAnsi="Arial" w:cs="Arial"/>
                <w:b/>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5.3pt;height:64.7pt" filled="f" o:ole="">
                  <v:imagedata r:id="rId3" o:title=""/>
                </v:shape>
                <o:OLEObject Type="Embed" ProgID="" ShapeID="ole_rId2" DrawAspect="Content" ObjectID="_407312034" r:id="rId2"/>
              </w:object>
            </w:r>
          </w:p>
        </w:tc>
        <w:tc>
          <w:tcPr>
            <w:tcW w:w="7218" w:type="dxa"/>
            <w:tcBorders/>
          </w:tcPr>
          <w:p>
            <w:pPr>
              <w:pStyle w:val="Heading4"/>
              <w:spacing w:before="720" w:after="240"/>
              <w:ind w:hanging="0" w:start="1440" w:end="0"/>
              <w:jc w:val="both"/>
              <w:rPr>
                <w:rFonts w:ascii="Arial" w:hAnsi="Arial" w:cs="Arial"/>
                <w:b/>
                <w:sz w:val="36"/>
              </w:rPr>
            </w:pPr>
            <w:r>
              <w:rPr>
                <w:rFonts w:cs="Arial" w:ascii="Arial" w:hAnsi="Arial"/>
                <w:b/>
                <w:sz w:val="36"/>
              </w:rPr>
              <w:t>Memorandum</w:t>
            </w:r>
          </w:p>
        </w:tc>
      </w:tr>
      <w:tr>
        <w:trPr/>
        <w:tc>
          <w:tcPr>
            <w:tcW w:w="1638" w:type="dxa"/>
            <w:tcBorders>
              <w:top w:val="double" w:sz="6" w:space="0" w:color="000000"/>
            </w:tcBorders>
          </w:tcPr>
          <w:p>
            <w:pPr>
              <w:pStyle w:val="Normal"/>
              <w:snapToGrid w:val="false"/>
              <w:spacing w:before="0" w:after="240"/>
              <w:jc w:val="both"/>
              <w:rPr>
                <w:rFonts w:ascii="Arial" w:hAnsi="Arial" w:cs="Arial"/>
                <w:b/>
                <w:sz w:val="36"/>
              </w:rPr>
            </w:pPr>
            <w:r>
              <w:rPr>
                <w:rFonts w:cs="Arial" w:ascii="Arial" w:hAnsi="Arial"/>
                <w:b/>
                <w:sz w:val="36"/>
              </w:rPr>
            </w:r>
          </w:p>
        </w:tc>
        <w:tc>
          <w:tcPr>
            <w:tcW w:w="7218" w:type="dxa"/>
            <w:tcBorders>
              <w:top w:val="double" w:sz="6" w:space="0" w:color="000000"/>
            </w:tcBorders>
          </w:tcPr>
          <w:p>
            <w:pPr>
              <w:pStyle w:val="Normal"/>
              <w:spacing w:before="0" w:after="240"/>
              <w:jc w:val="both"/>
              <w:rPr>
                <w:rFonts w:ascii="Arial" w:hAnsi="Arial" w:cs="Arial"/>
                <w:sz w:val="20"/>
              </w:rPr>
            </w:pPr>
            <w:r>
              <w:rPr>
                <w:b/>
                <w:vanish/>
                <w:color w:val="FF0000"/>
                <w:sz w:val="20"/>
              </w:rPr>
              <w:t>*</w:t>
            </w:r>
            <w:r>
              <w:rPr>
                <w:b/>
                <w:vanish/>
                <w:color w:val="FF0000"/>
              </w:rPr>
              <w:t>*THIS IS A TEMPLATE – PLEASE COPY TO ANOTHER SUBFOLDER.  Note: this is an EAF memo, change for another company**</w:t>
            </w:r>
          </w:p>
        </w:tc>
      </w:tr>
      <w:tr>
        <w:trPr/>
        <w:tc>
          <w:tcPr>
            <w:tcW w:w="1638" w:type="dxa"/>
            <w:tcBorders/>
          </w:tcPr>
          <w:p>
            <w:pPr>
              <w:pStyle w:val="Normal"/>
              <w:jc w:val="both"/>
              <w:rPr>
                <w:rFonts w:ascii="Arial" w:hAnsi="Arial" w:cs="Arial"/>
                <w:b/>
              </w:rPr>
            </w:pPr>
            <w:r>
              <w:rPr>
                <w:rFonts w:cs="Arial" w:ascii="Arial" w:hAnsi="Arial"/>
                <w:b/>
              </w:rPr>
              <w:t>To:</w:t>
            </w:r>
          </w:p>
        </w:tc>
        <w:tc>
          <w:tcPr>
            <w:tcW w:w="7218" w:type="dxa"/>
            <w:tcBorders/>
          </w:tcPr>
          <w:p>
            <w:pPr>
              <w:pStyle w:val="Header"/>
              <w:tabs>
                <w:tab w:val="clear" w:pos="4320"/>
                <w:tab w:val="clear" w:pos="8640"/>
              </w:tabs>
              <w:spacing w:before="0" w:after="240"/>
              <w:jc w:val="both"/>
              <w:rPr>
                <w:rFonts w:ascii="Arial" w:hAnsi="Arial" w:cs="Arial"/>
              </w:rPr>
            </w:pPr>
            <w:r>
              <w:rPr>
                <w:rFonts w:cs="Arial" w:ascii="Arial" w:hAnsi="Arial"/>
              </w:rPr>
              <w:t>Paul Quilkey, Steve Lowe</w:t>
            </w:r>
          </w:p>
        </w:tc>
      </w:tr>
      <w:tr>
        <w:trPr/>
        <w:tc>
          <w:tcPr>
            <w:tcW w:w="1638" w:type="dxa"/>
            <w:tcBorders/>
          </w:tcPr>
          <w:p>
            <w:pPr>
              <w:pStyle w:val="Normal"/>
              <w:jc w:val="both"/>
              <w:rPr>
                <w:rFonts w:ascii="Arial" w:hAnsi="Arial" w:cs="Arial"/>
                <w:b/>
              </w:rPr>
            </w:pPr>
            <w:r>
              <w:rPr>
                <w:rFonts w:cs="Arial" w:ascii="Arial" w:hAnsi="Arial"/>
                <w:b/>
              </w:rPr>
              <w:t>cc:</w:t>
            </w:r>
          </w:p>
        </w:tc>
        <w:tc>
          <w:tcPr>
            <w:tcW w:w="7218" w:type="dxa"/>
            <w:tcBorders/>
          </w:tcPr>
          <w:p>
            <w:pPr>
              <w:pStyle w:val="Heading5"/>
              <w:spacing w:before="0" w:after="240"/>
              <w:ind w:hanging="0" w:start="0"/>
              <w:rPr/>
            </w:pPr>
            <w:r>
              <w:rPr/>
              <w:t>Heidi Mason, Alan Aronowitz, Shari Stack, Susan Musch, Rob McGrory</w:t>
            </w:r>
          </w:p>
        </w:tc>
      </w:tr>
      <w:tr>
        <w:trPr/>
        <w:tc>
          <w:tcPr>
            <w:tcW w:w="1638" w:type="dxa"/>
            <w:tcBorders/>
          </w:tcPr>
          <w:p>
            <w:pPr>
              <w:pStyle w:val="Normal"/>
              <w:jc w:val="both"/>
              <w:rPr>
                <w:rFonts w:ascii="Arial" w:hAnsi="Arial" w:cs="Arial"/>
                <w:b/>
              </w:rPr>
            </w:pPr>
            <w:r>
              <w:rPr>
                <w:rFonts w:cs="Arial" w:ascii="Arial" w:hAnsi="Arial"/>
                <w:b/>
              </w:rPr>
              <w:t>From:</w:t>
            </w:r>
          </w:p>
        </w:tc>
        <w:tc>
          <w:tcPr>
            <w:tcW w:w="7218" w:type="dxa"/>
            <w:tcBorders/>
          </w:tcPr>
          <w:p>
            <w:pPr>
              <w:pStyle w:val="Normal"/>
              <w:spacing w:before="0" w:after="240"/>
              <w:jc w:val="both"/>
              <w:rPr>
                <w:rFonts w:ascii="Arial" w:hAnsi="Arial" w:cs="Arial"/>
              </w:rPr>
            </w:pPr>
            <w:r>
              <w:rPr>
                <w:rFonts w:cs="Arial" w:ascii="Arial" w:hAnsi="Arial"/>
              </w:rPr>
              <w:t>David Minns</w:t>
            </w:r>
          </w:p>
        </w:tc>
      </w:tr>
      <w:tr>
        <w:trPr/>
        <w:tc>
          <w:tcPr>
            <w:tcW w:w="1638" w:type="dxa"/>
            <w:tcBorders/>
          </w:tcPr>
          <w:p>
            <w:pPr>
              <w:pStyle w:val="Normal"/>
              <w:jc w:val="both"/>
              <w:rPr>
                <w:rFonts w:ascii="Arial" w:hAnsi="Arial" w:cs="Arial"/>
                <w:b/>
              </w:rPr>
            </w:pPr>
            <w:r>
              <w:rPr>
                <w:rFonts w:cs="Arial" w:ascii="Arial" w:hAnsi="Arial"/>
                <w:b/>
              </w:rPr>
              <w:t>Date:</w:t>
            </w:r>
          </w:p>
        </w:tc>
        <w:tc>
          <w:tcPr>
            <w:tcW w:w="7218" w:type="dxa"/>
            <w:tcBorders/>
          </w:tcPr>
          <w:p>
            <w:pPr>
              <w:pStyle w:val="Normal"/>
              <w:spacing w:before="0" w:after="240"/>
              <w:jc w:val="both"/>
              <w:rPr>
                <w:rFonts w:ascii="Arial" w:hAnsi="Arial" w:cs="Arial"/>
              </w:rPr>
            </w:pPr>
            <w:r>
              <w:rPr>
                <w:rFonts w:cs="Arial" w:ascii="Arial" w:hAnsi="Arial"/>
              </w:rPr>
              <w:t>24 December 1999</w:t>
            </w:r>
          </w:p>
        </w:tc>
      </w:tr>
      <w:tr>
        <w:trPr/>
        <w:tc>
          <w:tcPr>
            <w:tcW w:w="1638" w:type="dxa"/>
            <w:tcBorders>
              <w:bottom w:val="double" w:sz="6" w:space="0" w:color="000000"/>
            </w:tcBorders>
          </w:tcPr>
          <w:p>
            <w:pPr>
              <w:pStyle w:val="Normal"/>
              <w:spacing w:before="0" w:after="240"/>
              <w:jc w:val="both"/>
              <w:rPr>
                <w:rFonts w:ascii="Arial" w:hAnsi="Arial" w:cs="Arial"/>
                <w:b/>
              </w:rPr>
            </w:pPr>
            <w:r>
              <w:rPr>
                <w:rFonts w:cs="Arial" w:ascii="Arial" w:hAnsi="Arial"/>
                <w:b/>
              </w:rPr>
              <w:t>Subject:</w:t>
            </w:r>
          </w:p>
        </w:tc>
        <w:tc>
          <w:tcPr>
            <w:tcW w:w="7218" w:type="dxa"/>
            <w:tcBorders>
              <w:bottom w:val="double" w:sz="6" w:space="0" w:color="000000"/>
            </w:tcBorders>
          </w:tcPr>
          <w:p>
            <w:pPr>
              <w:pStyle w:val="Normal"/>
              <w:spacing w:before="0" w:after="240"/>
              <w:jc w:val="both"/>
              <w:rPr>
                <w:rFonts w:ascii="Arial" w:hAnsi="Arial" w:cs="Arial"/>
                <w:b/>
              </w:rPr>
            </w:pPr>
            <w:r>
              <w:rPr>
                <w:rFonts w:cs="Arial" w:ascii="Arial" w:hAnsi="Arial"/>
                <w:b/>
              </w:rPr>
              <w:t>Weather Derivatives</w:t>
            </w:r>
          </w:p>
        </w:tc>
      </w:tr>
    </w:tbl>
    <w:p>
      <w:pPr>
        <w:pStyle w:val="Header"/>
        <w:tabs>
          <w:tab w:val="clear" w:pos="4320"/>
          <w:tab w:val="clear" w:pos="8640"/>
        </w:tabs>
        <w:spacing w:before="0" w:after="240"/>
        <w:jc w:val="both"/>
        <w:rPr/>
      </w:pPr>
      <w:r>
        <w:rPr/>
      </w:r>
    </w:p>
    <w:p>
      <w:pPr>
        <w:pStyle w:val="Header"/>
        <w:tabs>
          <w:tab w:val="clear" w:pos="4320"/>
          <w:tab w:val="clear" w:pos="8640"/>
        </w:tabs>
        <w:spacing w:before="0" w:after="240"/>
        <w:jc w:val="both"/>
        <w:rPr>
          <w:rFonts w:ascii="Arial" w:hAnsi="Arial" w:cs="Arial"/>
          <w:sz w:val="20"/>
        </w:rPr>
      </w:pPr>
      <w:r>
        <w:rPr>
          <w:rFonts w:cs="Arial" w:ascii="Arial" w:hAnsi="Arial"/>
          <w:sz w:val="20"/>
        </w:rPr>
        <w:t xml:space="preserve">Please find the enclosed advice I have been working on with Mallesons in respect of the introduction of weather derivates to Australia.  The advice basically confirms our view that there are no legal impediments to weather derivatives being transacted in Australia.  I wanted Mallesons to specifically confirm our analysis on the following. </w:t>
      </w:r>
    </w:p>
    <w:p>
      <w:pPr>
        <w:pStyle w:val="Header"/>
        <w:numPr>
          <w:ilvl w:val="0"/>
          <w:numId w:val="3"/>
        </w:numPr>
        <w:tabs>
          <w:tab w:val="clear" w:pos="4320"/>
          <w:tab w:val="clear" w:pos="8640"/>
        </w:tabs>
        <w:spacing w:before="0" w:after="240"/>
        <w:jc w:val="both"/>
        <w:rPr>
          <w:rFonts w:ascii="Arial" w:hAnsi="Arial" w:cs="Arial"/>
          <w:sz w:val="20"/>
        </w:rPr>
      </w:pPr>
      <w:r>
        <w:rPr>
          <w:rFonts w:cs="Arial" w:ascii="Arial" w:hAnsi="Arial"/>
          <w:sz w:val="20"/>
        </w:rPr>
        <w:t>No further approvals would be required from the ASIC to trade in this type of financial product.</w:t>
      </w:r>
    </w:p>
    <w:p>
      <w:pPr>
        <w:pStyle w:val="Header"/>
        <w:numPr>
          <w:ilvl w:val="0"/>
          <w:numId w:val="3"/>
        </w:numPr>
        <w:tabs>
          <w:tab w:val="clear" w:pos="4320"/>
          <w:tab w:val="clear" w:pos="8640"/>
        </w:tabs>
        <w:spacing w:before="0" w:after="240"/>
        <w:jc w:val="both"/>
        <w:rPr>
          <w:rFonts w:ascii="Arial" w:hAnsi="Arial" w:cs="Arial"/>
          <w:sz w:val="20"/>
        </w:rPr>
      </w:pPr>
      <w:r>
        <w:rPr>
          <w:rFonts w:eastAsia="Arial" w:cs="Arial" w:ascii="Arial" w:hAnsi="Arial"/>
          <w:sz w:val="20"/>
        </w:rPr>
        <w:t xml:space="preserve"> </w:t>
      </w:r>
      <w:r>
        <w:rPr>
          <w:rFonts w:cs="Arial" w:ascii="Arial" w:hAnsi="Arial"/>
          <w:sz w:val="20"/>
        </w:rPr>
        <w:t>Weather derivatives would not be classified as insurance contracts.</w:t>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ASIC Approvals.</w:t>
      </w:r>
    </w:p>
    <w:p>
      <w:pPr>
        <w:pStyle w:val="Header"/>
        <w:tabs>
          <w:tab w:val="clear" w:pos="4320"/>
          <w:tab w:val="clear" w:pos="8640"/>
        </w:tabs>
        <w:spacing w:before="0" w:after="240"/>
        <w:jc w:val="both"/>
        <w:rPr/>
      </w:pPr>
      <w:r>
        <w:rPr>
          <w:rFonts w:cs="Arial" w:ascii="Arial" w:hAnsi="Arial"/>
          <w:sz w:val="20"/>
        </w:rPr>
        <w:t xml:space="preserve">An Exempt Futures Market Declaration (similar to that granted to Enron Australia Finance Pty.Ltd. to trade in Electricity derivatives) will not be required. This is because transactions will individually negotiated and hence not of the “same kind”.  This means that they will not be “futures contracts” for the purposes of the </w:t>
      </w:r>
      <w:r>
        <w:rPr>
          <w:rFonts w:cs="Arial" w:ascii="Arial" w:hAnsi="Arial"/>
          <w:i/>
          <w:sz w:val="20"/>
        </w:rPr>
        <w:t>Corporations Law</w:t>
      </w:r>
      <w:r>
        <w:rPr>
          <w:rFonts w:cs="Arial" w:ascii="Arial" w:hAnsi="Arial"/>
          <w:sz w:val="20"/>
        </w:rPr>
        <w:t>.  If weather derivatives are to be traded through EnronOnline this analysis would need to be re-visited as standardised documentation will be used.</w:t>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Insurance</w:t>
      </w:r>
    </w:p>
    <w:p>
      <w:pPr>
        <w:pStyle w:val="Header"/>
        <w:tabs>
          <w:tab w:val="clear" w:pos="4320"/>
          <w:tab w:val="clear" w:pos="8640"/>
        </w:tabs>
        <w:spacing w:before="0" w:after="240"/>
        <w:jc w:val="both"/>
        <w:rPr>
          <w:rFonts w:ascii="Arial" w:hAnsi="Arial" w:cs="Arial"/>
          <w:sz w:val="20"/>
        </w:rPr>
      </w:pPr>
      <w:r>
        <w:rPr>
          <w:rFonts w:cs="Arial" w:ascii="Arial" w:hAnsi="Arial"/>
          <w:sz w:val="20"/>
        </w:rPr>
        <w:t>This issue took a considerable amount of analysis but the essential point is that a weather derivative is not a contract of indemnity.  There is no assumption of an obligation to pay to a person (the insured) compensation for any loss or injury that person may suffer.</w:t>
      </w:r>
    </w:p>
    <w:p>
      <w:pPr>
        <w:pStyle w:val="Header"/>
        <w:tabs>
          <w:tab w:val="clear" w:pos="4320"/>
          <w:tab w:val="clear" w:pos="8640"/>
        </w:tabs>
        <w:spacing w:before="0" w:after="240"/>
        <w:jc w:val="both"/>
        <w:rPr>
          <w:rFonts w:ascii="Arial" w:hAnsi="Arial" w:cs="Arial"/>
          <w:sz w:val="20"/>
        </w:rPr>
      </w:pPr>
      <w:r>
        <w:rPr>
          <w:rFonts w:cs="Arial" w:ascii="Arial" w:hAnsi="Arial"/>
          <w:sz w:val="20"/>
        </w:rPr>
        <w:t>Also important is the intention of the transaction.  MSJ made certain recommendations on the wording that should be used in confirmations to reflect the understanding that the underlying transaction is not insurance.</w:t>
      </w:r>
    </w:p>
    <w:p>
      <w:pPr>
        <w:pStyle w:val="Header"/>
        <w:tabs>
          <w:tab w:val="clear" w:pos="4320"/>
          <w:tab w:val="clear" w:pos="8640"/>
        </w:tabs>
        <w:spacing w:before="0" w:after="240"/>
        <w:jc w:val="both"/>
        <w:rPr>
          <w:rFonts w:ascii="Arial" w:hAnsi="Arial" w:cs="Arial"/>
          <w:sz w:val="20"/>
        </w:rPr>
      </w:pPr>
      <w:r>
        <w:rPr>
          <w:rFonts w:cs="Arial" w:ascii="Arial" w:hAnsi="Arial"/>
          <w:sz w:val="20"/>
        </w:rPr>
        <w:t>Mallesons listed several reasons as to why it is important that weather derivatives are not classified as insurance. I would suggest another. There is an exposure to a claim for contribution if a weather derivative is found to indemnify the counterparty for a risk that is also covered by an insurance policy.  This would involve an insurer attempting to reduce its payout to the insured counterparty to take account of amounts received under the weather derivative.</w:t>
      </w:r>
    </w:p>
    <w:p>
      <w:pPr>
        <w:pStyle w:val="Header"/>
        <w:tabs>
          <w:tab w:val="clear" w:pos="4320"/>
          <w:tab w:val="clear" w:pos="8640"/>
        </w:tabs>
        <w:spacing w:before="0" w:after="240"/>
        <w:jc w:val="both"/>
        <w:rPr>
          <w:rFonts w:ascii="Arial" w:hAnsi="Arial" w:cs="Arial"/>
          <w:sz w:val="20"/>
        </w:rPr>
      </w:pPr>
      <w:r>
        <w:rPr>
          <w:rFonts w:cs="Arial" w:ascii="Arial" w:hAnsi="Arial"/>
          <w:sz w:val="20"/>
        </w:rPr>
      </w:r>
    </w:p>
    <w:p>
      <w:pPr>
        <w:pStyle w:val="Header"/>
        <w:tabs>
          <w:tab w:val="clear" w:pos="4320"/>
          <w:tab w:val="clear" w:pos="8640"/>
        </w:tabs>
        <w:spacing w:before="0" w:after="240"/>
        <w:jc w:val="both"/>
        <w:rPr>
          <w:rFonts w:ascii="Arial" w:hAnsi="Arial" w:cs="Arial"/>
          <w:sz w:val="20"/>
          <w:u w:val="single"/>
        </w:rPr>
      </w:pPr>
      <w:r>
        <w:rPr>
          <w:rFonts w:cs="Arial" w:ascii="Arial" w:hAnsi="Arial"/>
          <w:sz w:val="20"/>
          <w:u w:val="single"/>
        </w:rPr>
        <w:t>Way Forward</w:t>
      </w:r>
    </w:p>
    <w:p>
      <w:pPr>
        <w:pStyle w:val="Header"/>
        <w:tabs>
          <w:tab w:val="clear" w:pos="4320"/>
          <w:tab w:val="clear" w:pos="8640"/>
        </w:tabs>
        <w:spacing w:before="0" w:after="240"/>
        <w:jc w:val="both"/>
        <w:rPr>
          <w:rFonts w:ascii="Arial" w:hAnsi="Arial" w:cs="Arial"/>
          <w:sz w:val="20"/>
        </w:rPr>
      </w:pPr>
      <w:r>
        <w:rPr>
          <w:rFonts w:cs="Arial" w:ascii="Arial" w:hAnsi="Arial"/>
          <w:sz w:val="20"/>
        </w:rPr>
        <w:t>I believe we are now in a position to move forward and enter into weather derivatives.  However the following matters should be addressed:</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The commercial terms of any weather derivate should be considered to ensure they do not involve a contract of indemnity for loss or damage.</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Although the position with respect to GST seems clear, it would be prudent  to confirm that the input tax status of commodity derivatives (as outlined  in the Australia Tax Office Consultation Paper on the Application of the Goods and Services Tax to Financial Services) extends to weather derivatives.</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Review the wording of my previously circulated draft confirmation to ensure that the calculation of the  Floating Price incorporates Bureau of Meteorology readings in the correct manner.</w:t>
      </w:r>
    </w:p>
    <w:p>
      <w:pPr>
        <w:pStyle w:val="Header"/>
        <w:numPr>
          <w:ilvl w:val="0"/>
          <w:numId w:val="2"/>
        </w:numPr>
        <w:tabs>
          <w:tab w:val="clear" w:pos="4320"/>
          <w:tab w:val="clear" w:pos="8640"/>
        </w:tabs>
        <w:spacing w:before="0" w:after="240"/>
        <w:jc w:val="both"/>
        <w:rPr>
          <w:rFonts w:ascii="Arial" w:hAnsi="Arial" w:cs="Arial"/>
          <w:sz w:val="20"/>
        </w:rPr>
      </w:pPr>
      <w:r>
        <w:rPr>
          <w:rFonts w:cs="Arial" w:ascii="Arial" w:hAnsi="Arial"/>
          <w:sz w:val="20"/>
        </w:rPr>
        <w:t>Identify counterparties with whom we wish to trade and endeavour to settle ISDA Master Agreements with them.</w:t>
      </w:r>
    </w:p>
    <w:p>
      <w:pPr>
        <w:pStyle w:val="Header"/>
        <w:tabs>
          <w:tab w:val="clear" w:pos="4320"/>
          <w:tab w:val="clear" w:pos="8640"/>
        </w:tabs>
        <w:spacing w:before="0" w:after="240"/>
        <w:jc w:val="both"/>
        <w:rPr>
          <w:rFonts w:ascii="Arial" w:hAnsi="Arial" w:cs="Arial"/>
          <w:sz w:val="20"/>
        </w:rPr>
      </w:pPr>
      <w:r>
        <w:rPr>
          <w:rFonts w:cs="Arial" w:ascii="Arial" w:hAnsi="Arial"/>
          <w:sz w:val="20"/>
        </w:rPr>
      </w:r>
    </w:p>
    <w:sectPr>
      <w:footerReference w:type="default" r:id="rId4"/>
      <w:footerReference w:type="first" r:id="rId5"/>
      <w:type w:val="nextPage"/>
      <w:pgSz w:w="12240" w:h="15840"/>
      <w:pgMar w:left="1800" w:right="1800" w:gutter="0" w:header="0" w:top="7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sz w:val="24"/>
    </w:rPr>
  </w:style>
  <w:style w:type="paragraph" w:styleId="Heading2">
    <w:name w:val="heading 2"/>
    <w:basedOn w:val="Normal"/>
    <w:next w:val="Normal"/>
    <w:qFormat/>
    <w:pPr>
      <w:keepNext w:val="true"/>
      <w:numPr>
        <w:ilvl w:val="1"/>
        <w:numId w:val="1"/>
      </w:numPr>
      <w:spacing w:before="0" w:after="240"/>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rPr>
  </w:style>
  <w:style w:type="paragraph" w:styleId="Heading4">
    <w:name w:val="heading 4"/>
    <w:basedOn w:val="Normal"/>
    <w:next w:val="Normal"/>
    <w:qFormat/>
    <w:pPr>
      <w:keepNext w:val="true"/>
      <w:numPr>
        <w:ilvl w:val="3"/>
        <w:numId w:val="1"/>
      </w:numPr>
      <w:spacing w:before="0" w:after="240"/>
      <w:outlineLvl w:val="3"/>
    </w:pPr>
    <w:rPr>
      <w:sz w:val="28"/>
    </w:rPr>
  </w:style>
  <w:style w:type="paragraph" w:styleId="Heading5">
    <w:name w:val="heading 5"/>
    <w:basedOn w:val="Normal"/>
    <w:next w:val="Normal"/>
    <w:qFormat/>
    <w:pPr>
      <w:keepNext w:val="true"/>
      <w:numPr>
        <w:ilvl w:val="4"/>
        <w:numId w:val="1"/>
      </w:numPr>
      <w:spacing w:before="0" w:after="240"/>
      <w:jc w:val="both"/>
      <w:outlineLvl w:val="4"/>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2000-04-12T21:10:00Z</dcterms:created>
  <dc:creator>ENRON</dc:creator>
  <dc:description/>
  <dc:language>en-CA</dc:language>
  <cp:lastModifiedBy>David Minns</cp:lastModifiedBy>
  <cp:lastPrinted>1999-12-29T14:56:00Z</cp:lastPrinted>
  <dcterms:modified xsi:type="dcterms:W3CDTF">2000-04-12T21:10:00Z</dcterms:modified>
  <cp:revision>2</cp:revision>
  <dc:subject/>
  <dc:title> </dc:title>
</cp:coreProperties>
</file>