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numPr>
          <w:ilvl w:val="0"/>
          <w:numId w:val="0"/>
        </w:numPr>
        <w:pBdr>
          <w:top w:val="single" w:sz="4" w:space="13" w:color="000000"/>
          <w:bottom w:val="single" w:sz="4" w:space="6" w:color="000000"/>
        </w:pBdr>
        <w:tabs>
          <w:tab w:val="clear" w:pos="4153"/>
          <w:tab w:val="clear" w:pos="8306"/>
        </w:tabs>
        <w:spacing w:lineRule="auto" w:line="360" w:before="0" w:after="120"/>
        <w:ind w:start="142" w:end="0"/>
        <w:outlineLvl w:val="0"/>
        <w:rPr>
          <w:rFonts w:ascii="Monotype Bembo;Times New Roman" w:hAnsi="Monotype Bembo;Times New Roman" w:cs="Monotype Bembo;Times New Roman"/>
        </w:rPr>
      </w:pPr>
      <w:r>
        <w:rPr>
          <w:sz w:val="40"/>
        </w:rPr>
        <mc:AlternateContent>
          <mc:Choice Requires="wps">
            <w:drawing>
              <wp:anchor behindDoc="0" distT="0" distB="0" distL="114935" distR="114935" simplePos="0" locked="0" layoutInCell="1" allowOverlap="1" relativeHeight="2">
                <wp:simplePos x="0" y="0"/>
                <wp:positionH relativeFrom="column">
                  <wp:posOffset>-2708910</wp:posOffset>
                </wp:positionH>
                <wp:positionV relativeFrom="paragraph">
                  <wp:posOffset>-1263015</wp:posOffset>
                </wp:positionV>
                <wp:extent cx="2560320" cy="12141835"/>
                <wp:effectExtent l="5080" t="5715" r="5080" b="4445"/>
                <wp:wrapNone/>
                <wp:docPr id="1" name=""/>
                <a:graphic xmlns:a="http://schemas.openxmlformats.org/drawingml/2006/main">
                  <a:graphicData uri="http://schemas.microsoft.com/office/word/2010/wordprocessingShape">
                    <wps:wsp>
                      <wps:cNvSpPr/>
                      <wps:spPr>
                        <a:xfrm>
                          <a:off x="0" y="0"/>
                          <a:ext cx="2560320" cy="12141720"/>
                        </a:xfrm>
                        <a:prstGeom prst="rect">
                          <a:avLst/>
                        </a:prstGeom>
                        <a:solidFill>
                          <a:srgbClr val="808080"/>
                        </a:solidFill>
                        <a:ln w="9360">
                          <a:solidFill>
                            <a:srgbClr val="000000"/>
                          </a:solidFill>
                          <a:miter/>
                        </a:ln>
                      </wps:spPr>
                      <wps:style>
                        <a:lnRef idx="0"/>
                        <a:fillRef idx="0"/>
                        <a:effectRef idx="0"/>
                        <a:fontRef idx="minor"/>
                      </wps:style>
                      <wps:bodyPr/>
                    </wps:wsp>
                  </a:graphicData>
                </a:graphic>
              </wp:anchor>
            </w:drawing>
          </mc:Choice>
          <mc:Fallback>
            <w:pict>
              <v:rect id="shape_0" fillcolor="gray" stroked="t" o:allowincell="f" style="position:absolute;margin-left:-213.3pt;margin-top:-99.45pt;width:201.55pt;height:956pt;mso-wrap-style:none;v-text-anchor:middle">
                <v:fill o:detectmouseclick="t" type="solid" color2="#7f7f7f"/>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3">
                <wp:simplePos x="0" y="0"/>
                <wp:positionH relativeFrom="column">
                  <wp:posOffset>-4674235</wp:posOffset>
                </wp:positionH>
                <wp:positionV relativeFrom="paragraph">
                  <wp:posOffset>-1764665</wp:posOffset>
                </wp:positionV>
                <wp:extent cx="7315835" cy="1189355"/>
                <wp:effectExtent l="0" t="0" r="0" b="0"/>
                <wp:wrapNone/>
                <wp:docPr id="2" name=""/>
                <a:graphic xmlns:a="http://schemas.openxmlformats.org/drawingml/2006/main">
                  <a:graphicData uri="http://schemas.microsoft.com/office/word/2010/wordprocessingShape">
                    <wps:wsp>
                      <wps:cNvSpPr txBox="1"/>
                      <wps:spPr>
                        <a:xfrm rot="16200000">
                          <a:off x="0" y="0"/>
                          <a:ext cx="7315920" cy="1189440"/>
                        </a:xfrm>
                        <a:prstGeom prst="rect">
                          <a:avLst/>
                        </a:prstGeom>
                        <a:solidFill>
                          <a:srgbClr val="808080"/>
                        </a:solidFill>
                        <a:ln w="0">
                          <a:noFill/>
                        </a:ln>
                      </wps:spPr>
                      <wps:txbx>
                        <w:txbxContent>
                          <w:p>
                            <w:pPr>
                              <w:overflowPunct w:val="false"/>
                              <w:bidi w:val="0"/>
                              <w:jc w:val="start"/>
                              <w:rPr/>
                            </w:pPr>
                            <w:r>
                              <w:rPr>
                                <w:kern w:val="2"/>
                                <w:sz w:val="100"/>
                                <w:spacing w:val="210"/>
                                <w:szCs w:val="20"/>
                                <w:rFonts w:ascii="Monotype Bembo;Times New Roman" w:hAnsi="Monotype Bembo;Times New Roman" w:eastAsia="Times New Roman" w:cs="Monotype Bembo;Times New Roman"/>
                                <w:color w:val="FF0000"/>
                                <w:lang w:val="en-US"/>
                              </w:rPr>
                              <w:t>ALLEN &amp; OVERY</w:t>
                            </w:r>
                          </w:p>
                        </w:txbxContent>
                      </wps:txbx>
                      <wps:bodyPr wrap="square" lIns="45720" rIns="45720" tIns="91440" bIns="914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fillcolor="gray" stroked="f" o:allowincell="f" style="position:absolute;margin-left:-368.1pt;margin-top:-139pt;width:576pt;height:93.6pt;mso-wrap-style:square;v-text-anchor:top;rotation:270" type="_x0000_t202">
                <v:textbox style="mso-layout-flow-alt:bottom-to-top">
                  <w:txbxContent>
                    <w:p>
                      <w:pPr>
                        <w:overflowPunct w:val="false"/>
                        <w:bidi w:val="0"/>
                        <w:jc w:val="start"/>
                        <w:rPr/>
                      </w:pPr>
                      <w:r>
                        <w:rPr>
                          <w:kern w:val="2"/>
                          <w:sz w:val="100"/>
                          <w:spacing w:val="210"/>
                          <w:szCs w:val="20"/>
                          <w:rFonts w:ascii="Monotype Bembo;Times New Roman" w:hAnsi="Monotype Bembo;Times New Roman" w:eastAsia="Times New Roman" w:cs="Monotype Bembo;Times New Roman"/>
                          <w:color w:val="FF0000"/>
                          <w:lang w:val="en-US"/>
                        </w:rPr>
                        <w:t>ALLEN &amp; OVERY</w:t>
                      </w:r>
                    </w:p>
                  </w:txbxContent>
                </v:textbox>
                <v:fill o:detectmouseclick="t" type="solid" color2="#7f7f7f"/>
                <v:stroke color="#3465a4" joinstyle="round" endcap="flat"/>
                <w10:wrap type="none"/>
              </v:shape>
            </w:pict>
          </mc:Fallback>
        </mc:AlternateContent>
        <w:t xml:space="preserve">GUANGDONG INTERNATIONAL TRUST &amp; INVESTMENT CORPORATION - </w:t>
      </w:r>
      <w:r>
        <w:rPr/>
        <w:t>IMPLICATIONS ON DERIVATIVE TRANSACTIONS WITH CHINESE COUNTERPARTIES</w:t>
      </w:r>
      <w:r>
        <mc:AlternateContent>
          <mc:Choice Requires="wps">
            <w:drawing>
              <wp:anchor behindDoc="0" distT="0" distB="0" distL="114935" distR="114935" simplePos="0" locked="0" layoutInCell="1" allowOverlap="1" relativeHeight="4">
                <wp:simplePos x="0" y="0"/>
                <wp:positionH relativeFrom="column">
                  <wp:posOffset>-1977390</wp:posOffset>
                </wp:positionH>
                <wp:positionV relativeFrom="paragraph">
                  <wp:posOffset>200025</wp:posOffset>
                </wp:positionV>
                <wp:extent cx="1737360" cy="1188720"/>
                <wp:effectExtent l="0" t="0" r="0" b="0"/>
                <wp:wrapNone/>
                <wp:docPr id="3" name="Frame1"/>
                <a:graphic xmlns:a="http://schemas.openxmlformats.org/drawingml/2006/main">
                  <a:graphicData uri="http://schemas.microsoft.com/office/word/2010/wordprocessingShape">
                    <wps:wsp>
                      <wps:cNvSpPr txBox="1"/>
                      <wps:spPr>
                        <a:xfrm>
                          <a:off x="0" y="0"/>
                          <a:ext cx="1737360" cy="1188720"/>
                        </a:xfrm>
                        <a:prstGeom prst="rect"/>
                        <a:solidFill>
                          <a:srgbClr val="808080"/>
                        </a:solidFill>
                      </wps:spPr>
                      <wps:txbx>
                        <w:txbxContent>
                          <w:p>
                            <w:pPr>
                              <w:pStyle w:val="BodyText"/>
                              <w:rPr>
                                <w:rFonts w:ascii="Bembo" w:hAnsi="Bembo" w:cs="Bembo"/>
                                <w:color w:val="FFFFFF"/>
                                <w:spacing w:val="20"/>
                                <w:sz w:val="20"/>
                              </w:rPr>
                            </w:pPr>
                            <w:r>
                              <w:rPr>
                                <w:rFonts w:cs="Bembo" w:ascii="Bembo" w:hAnsi="Bembo"/>
                                <w:color w:val="FFFFFF"/>
                                <w:spacing w:val="20"/>
                                <w:sz w:val="20"/>
                              </w:rPr>
                              <w:t xml:space="preserve">GUIDANCE FROM </w:t>
                            </w:r>
                          </w:p>
                          <w:p>
                            <w:pPr>
                              <w:pStyle w:val="BodyText"/>
                              <w:rPr>
                                <w:rFonts w:ascii="Bembo" w:hAnsi="Bembo" w:cs="Bembo"/>
                                <w:color w:val="FFFFFF"/>
                                <w:spacing w:val="20"/>
                                <w:sz w:val="20"/>
                              </w:rPr>
                            </w:pPr>
                            <w:r>
                              <w:rPr>
                                <w:rFonts w:cs="Bembo" w:ascii="Bembo" w:hAnsi="Bembo"/>
                                <w:color w:val="FFFFFF"/>
                                <w:spacing w:val="20"/>
                                <w:sz w:val="20"/>
                              </w:rPr>
                              <w:t xml:space="preserve">ALLEN &amp; OVERY </w:t>
                            </w:r>
                          </w:p>
                          <w:p>
                            <w:pPr>
                              <w:pStyle w:val="Normal"/>
                              <w:jc w:val="center"/>
                              <w:rPr>
                                <w:rFonts w:ascii="Bembo" w:hAnsi="Bembo" w:cs="Bembo"/>
                                <w:smallCaps/>
                                <w:color w:val="FFFFFF"/>
                                <w:spacing w:val="20"/>
                                <w:sz w:val="20"/>
                                <w:lang w:val="en-US"/>
                              </w:rPr>
                            </w:pPr>
                            <w:r>
                              <w:rPr>
                                <w:rFonts w:cs="Bembo" w:ascii="Bembo" w:hAnsi="Bembo"/>
                                <w:smallCaps/>
                                <w:color w:val="FFFFFF"/>
                                <w:spacing w:val="20"/>
                                <w:sz w:val="20"/>
                                <w:lang w:val="en-US"/>
                              </w:rPr>
                              <w:t xml:space="preserve">ON A CURRENT </w:t>
                            </w:r>
                          </w:p>
                          <w:p>
                            <w:pPr>
                              <w:pStyle w:val="Normal"/>
                              <w:jc w:val="center"/>
                              <w:rPr>
                                <w:rFonts w:ascii="Bembo" w:hAnsi="Bembo" w:cs="Bembo"/>
                                <w:smallCaps/>
                                <w:color w:val="FFFFFF"/>
                                <w:spacing w:val="20"/>
                                <w:sz w:val="20"/>
                                <w:lang w:val="en-US"/>
                              </w:rPr>
                            </w:pPr>
                            <w:r>
                              <w:rPr>
                                <w:rFonts w:cs="Bembo" w:ascii="Bembo" w:hAnsi="Bembo"/>
                                <w:smallCaps/>
                                <w:color w:val="FFFFFF"/>
                                <w:spacing w:val="20"/>
                                <w:sz w:val="20"/>
                                <w:lang w:val="en-US"/>
                              </w:rPr>
                              <w:t>ISSUE</w:t>
                            </w:r>
                          </w:p>
                        </w:txbxContent>
                      </wps:txbx>
                      <wps:bodyPr anchor="t" lIns="92075" tIns="46355" rIns="92075" bIns="46355">
                        <a:noAutofit/>
                      </wps:bodyPr>
                    </wps:wsp>
                  </a:graphicData>
                </a:graphic>
              </wp:anchor>
            </w:drawing>
          </mc:Choice>
          <mc:Fallback>
            <w:pict>
              <v:rect fillcolor="#808080" style="position:absolute;rotation:-0;width:136.8pt;height:93.6pt;mso-wrap-distance-left:9.05pt;mso-wrap-distance-right:9.05pt;mso-wrap-distance-top:0pt;mso-wrap-distance-bottom:0pt;margin-top:15.75pt;mso-position-vertical-relative:text;margin-left:-155.7pt;mso-position-horizontal-relative:text">
                <v:textbox inset="0.100694444444444in,0.0506944444444444in,0.100694444444444in,0.0506944444444444in">
                  <w:txbxContent>
                    <w:p>
                      <w:pPr>
                        <w:pStyle w:val="BodyText"/>
                        <w:rPr>
                          <w:rFonts w:ascii="Bembo" w:hAnsi="Bembo" w:cs="Bembo"/>
                          <w:color w:val="FFFFFF"/>
                          <w:spacing w:val="20"/>
                          <w:sz w:val="20"/>
                        </w:rPr>
                      </w:pPr>
                      <w:r>
                        <w:rPr>
                          <w:rFonts w:cs="Bembo" w:ascii="Bembo" w:hAnsi="Bembo"/>
                          <w:color w:val="FFFFFF"/>
                          <w:spacing w:val="20"/>
                          <w:sz w:val="20"/>
                        </w:rPr>
                        <w:t xml:space="preserve">GUIDANCE FROM </w:t>
                      </w:r>
                    </w:p>
                    <w:p>
                      <w:pPr>
                        <w:pStyle w:val="BodyText"/>
                        <w:rPr>
                          <w:rFonts w:ascii="Bembo" w:hAnsi="Bembo" w:cs="Bembo"/>
                          <w:color w:val="FFFFFF"/>
                          <w:spacing w:val="20"/>
                          <w:sz w:val="20"/>
                        </w:rPr>
                      </w:pPr>
                      <w:r>
                        <w:rPr>
                          <w:rFonts w:cs="Bembo" w:ascii="Bembo" w:hAnsi="Bembo"/>
                          <w:color w:val="FFFFFF"/>
                          <w:spacing w:val="20"/>
                          <w:sz w:val="20"/>
                        </w:rPr>
                        <w:t xml:space="preserve">ALLEN &amp; OVERY </w:t>
                      </w:r>
                    </w:p>
                    <w:p>
                      <w:pPr>
                        <w:pStyle w:val="Normal"/>
                        <w:jc w:val="center"/>
                        <w:rPr>
                          <w:rFonts w:ascii="Bembo" w:hAnsi="Bembo" w:cs="Bembo"/>
                          <w:smallCaps/>
                          <w:color w:val="FFFFFF"/>
                          <w:spacing w:val="20"/>
                          <w:sz w:val="20"/>
                          <w:lang w:val="en-US"/>
                        </w:rPr>
                      </w:pPr>
                      <w:r>
                        <w:rPr>
                          <w:rFonts w:cs="Bembo" w:ascii="Bembo" w:hAnsi="Bembo"/>
                          <w:smallCaps/>
                          <w:color w:val="FFFFFF"/>
                          <w:spacing w:val="20"/>
                          <w:sz w:val="20"/>
                          <w:lang w:val="en-US"/>
                        </w:rPr>
                        <w:t xml:space="preserve">ON A CURRENT </w:t>
                      </w:r>
                    </w:p>
                    <w:p>
                      <w:pPr>
                        <w:pStyle w:val="Normal"/>
                        <w:jc w:val="center"/>
                        <w:rPr>
                          <w:rFonts w:ascii="Bembo" w:hAnsi="Bembo" w:cs="Bembo"/>
                          <w:smallCaps/>
                          <w:color w:val="FFFFFF"/>
                          <w:spacing w:val="20"/>
                          <w:sz w:val="20"/>
                          <w:lang w:val="en-US"/>
                        </w:rPr>
                      </w:pPr>
                      <w:r>
                        <w:rPr>
                          <w:rFonts w:cs="Bembo" w:ascii="Bembo" w:hAnsi="Bembo"/>
                          <w:smallCaps/>
                          <w:color w:val="FFFFFF"/>
                          <w:spacing w:val="20"/>
                          <w:sz w:val="20"/>
                          <w:lang w:val="en-US"/>
                        </w:rPr>
                        <w:t>ISSUE</w:t>
                      </w:r>
                    </w:p>
                  </w:txbxContent>
                </v:textbox>
                <w10:wrap type="none"/>
              </v:rect>
            </w:pict>
          </mc:Fallback>
        </mc:AlternateContent>
      </w:r>
      <w:r>
        <mc:AlternateContent>
          <mc:Choice Requires="wps">
            <w:drawing>
              <wp:anchor behindDoc="0" distT="0" distB="0" distL="114935" distR="114935" simplePos="0" locked="0" layoutInCell="0" allowOverlap="1" relativeHeight="5">
                <wp:simplePos x="0" y="0"/>
                <wp:positionH relativeFrom="column">
                  <wp:posOffset>-84455</wp:posOffset>
                </wp:positionH>
                <wp:positionV relativeFrom="paragraph">
                  <wp:posOffset>-897255</wp:posOffset>
                </wp:positionV>
                <wp:extent cx="5486400" cy="1188720"/>
                <wp:effectExtent l="0" t="0" r="0" b="0"/>
                <wp:wrapSquare wrapText="bothSides"/>
                <wp:docPr id="4" name="Frame2"/>
                <a:graphic xmlns:a="http://schemas.openxmlformats.org/drawingml/2006/main">
                  <a:graphicData uri="http://schemas.microsoft.com/office/word/2010/wordprocessingShape">
                    <wps:wsp>
                      <wps:cNvSpPr txBox="1"/>
                      <wps:spPr>
                        <a:xfrm>
                          <a:off x="0" y="0"/>
                          <a:ext cx="5486400" cy="1188720"/>
                        </a:xfrm>
                        <a:prstGeom prst="rect"/>
                        <a:solidFill>
                          <a:srgbClr val="FFFFFF"/>
                        </a:solidFill>
                      </wps:spPr>
                      <wps:txbx>
                        <w:txbxContent>
                          <w:p>
                            <w:pPr>
                              <w:pStyle w:val="BodyText2"/>
                              <w:ind w:start="142" w:end="0"/>
                              <w:rPr>
                                <w:spacing w:val="180"/>
                                <w:kern w:val="2"/>
                                <w:sz w:val="136"/>
                              </w:rPr>
                            </w:pPr>
                            <w:r>
                              <w:rPr>
                                <w:spacing w:val="180"/>
                                <w:kern w:val="2"/>
                                <w:sz w:val="136"/>
                              </w:rPr>
                              <w:t>Bulletin</w:t>
                            </w:r>
                          </w:p>
                        </w:txbxContent>
                      </wps:txbx>
                      <wps:bodyPr anchor="t" lIns="92075" tIns="46355" rIns="92075" bIns="46355">
                        <a:noAutofit/>
                      </wps:bodyPr>
                    </wps:wsp>
                  </a:graphicData>
                </a:graphic>
              </wp:anchor>
            </w:drawing>
          </mc:Choice>
          <mc:Fallback>
            <w:pict>
              <v:rect fillcolor="#FFFFFF" style="position:absolute;rotation:-0;width:432pt;height:93.6pt;mso-wrap-distance-left:9.05pt;mso-wrap-distance-right:9.05pt;mso-wrap-distance-top:0pt;mso-wrap-distance-bottom:0pt;margin-top:-70.65pt;mso-position-vertical-relative:text;margin-left:-6.65pt;mso-position-horizontal-relative:text">
                <v:textbox inset="0.100694444444444in,0.0506944444444444in,0.100694444444444in,0.0506944444444444in">
                  <w:txbxContent>
                    <w:p>
                      <w:pPr>
                        <w:pStyle w:val="BodyText2"/>
                        <w:ind w:start="142" w:end="0"/>
                        <w:rPr>
                          <w:spacing w:val="180"/>
                          <w:kern w:val="2"/>
                          <w:sz w:val="136"/>
                        </w:rPr>
                      </w:pPr>
                      <w:r>
                        <w:rPr>
                          <w:spacing w:val="180"/>
                          <w:kern w:val="2"/>
                          <w:sz w:val="136"/>
                        </w:rPr>
                        <w:t>Bulletin</w:t>
                      </w:r>
                    </w:p>
                  </w:txbxContent>
                </v:textbox>
                <w10:wrap type="square"/>
              </v:rect>
            </w:pict>
          </mc:Fallback>
        </mc:AlternateContent>
      </w:r>
    </w:p>
    <w:p>
      <w:pPr>
        <w:pStyle w:val="Header"/>
        <w:tabs>
          <w:tab w:val="clear" w:pos="4153"/>
          <w:tab w:val="clear" w:pos="8306"/>
        </w:tabs>
        <w:spacing w:before="0" w:after="120"/>
        <w:jc w:val="end"/>
        <w:rPr>
          <w:rFonts w:ascii="Monotype Bembo;Times New Roman" w:hAnsi="Monotype Bembo;Times New Roman" w:cs="Monotype Bembo;Times New Roman"/>
          <w:i/>
          <w:i/>
          <w:sz w:val="4"/>
        </w:rPr>
      </w:pPr>
      <w:r>
        <w:rPr>
          <w:rFonts w:cs="Monotype Bembo;Times New Roman" w:ascii="Monotype Bembo;Times New Roman" w:hAnsi="Monotype Bembo;Times New Roman"/>
          <w:i/>
          <w:sz w:val="4"/>
        </w:rPr>
      </w:r>
    </w:p>
    <w:p>
      <w:pPr>
        <w:pStyle w:val="Normal"/>
        <w:ind w:start="142" w:end="0"/>
        <w:rPr/>
      </w:pPr>
      <w:r>
        <w:rPr>
          <w:i/>
          <w:sz w:val="20"/>
        </w:rPr>
        <w:t>This Bulletin is an update to the Allen &amp; Overy Memorandum dated 1st November, 1999 on "Derivative Transactions with PRC Counterparties" and has been prepared to inform Allen &amp; Overy’s clients of the most recent developments surrounding the rejection of swap claims by the Liquidation Committee of Guangdong International Trust &amp; Investment Corporation ("</w:t>
      </w:r>
      <w:r>
        <w:rPr>
          <w:b/>
          <w:i/>
          <w:sz w:val="20"/>
        </w:rPr>
        <w:t>GITIC</w:t>
      </w:r>
      <w:r>
        <w:rPr>
          <w:i/>
          <w:sz w:val="20"/>
        </w:rPr>
        <w:t>").  This Bulletin aims merely to highlight potential key issues which clients should be considering.  As English and Hong Kong qualified lawyers, we are not qualified to advise on aspects of the law of the People's Republic of China ("</w:t>
      </w:r>
      <w:r>
        <w:rPr>
          <w:b/>
          <w:i/>
          <w:sz w:val="20"/>
        </w:rPr>
        <w:t>PRC</w:t>
      </w:r>
      <w:r>
        <w:rPr>
          <w:i/>
          <w:sz w:val="20"/>
        </w:rPr>
        <w:t>").  This Bulletin is based on our discussions with, and advice obtained from, PRC lawyers.  Reliance must not be placed or decisions taken on the basis of its contents without specific advice.  This Bulletin does not constitute a formal legal opinion.</w:t>
      </w:r>
    </w:p>
    <w:p>
      <w:pPr>
        <w:pStyle w:val="Normal"/>
        <w:ind w:start="142" w:end="0"/>
        <w:rPr>
          <w:i/>
          <w:i/>
          <w:sz w:val="20"/>
        </w:rPr>
      </w:pPr>
      <w:r>
        <w:rPr>
          <w:i/>
          <w:sz w:val="20"/>
        </w:rPr>
      </w:r>
    </w:p>
    <w:p>
      <w:pPr>
        <w:pStyle w:val="Normal"/>
        <w:ind w:start="142" w:end="0"/>
        <w:rPr>
          <w:i/>
          <w:i/>
          <w:sz w:val="20"/>
        </w:rPr>
      </w:pPr>
      <w:r>
        <w:rPr>
          <w:i/>
          <w:sz w:val="20"/>
        </w:rPr>
      </w:r>
    </w:p>
    <w:p>
      <w:pPr>
        <w:pStyle w:val="Header"/>
        <w:tabs>
          <w:tab w:val="clear" w:pos="4153"/>
          <w:tab w:val="clear" w:pos="8306"/>
        </w:tabs>
        <w:spacing w:before="0" w:after="120"/>
        <w:ind w:start="142" w:end="0"/>
        <w:jc w:val="end"/>
        <w:rPr>
          <w:i/>
          <w:i/>
          <w:sz w:val="20"/>
        </w:rPr>
      </w:pPr>
      <w:r>
        <w:rPr>
          <w:i/>
          <w:sz w:val="20"/>
        </w:rPr>
        <w:t>July 2000</w:t>
      </w:r>
    </w:p>
    <w:p>
      <w:pPr>
        <w:pStyle w:val="Normal"/>
        <w:ind w:start="142" w:end="0"/>
        <w:rPr>
          <w:b/>
          <w:color w:val="000000"/>
          <w:sz w:val="20"/>
        </w:rPr>
      </w:pPr>
      <w:r>
        <w:rPr>
          <w:b/>
          <w:color w:val="000000"/>
          <w:sz w:val="20"/>
        </w:rPr>
        <w:t>BACKGROUND</w:t>
      </w:r>
    </w:p>
    <w:p>
      <w:pPr>
        <w:pStyle w:val="Normal"/>
        <w:ind w:start="142" w:end="0"/>
        <w:rPr>
          <w:b/>
          <w:color w:val="000000"/>
          <w:sz w:val="20"/>
        </w:rPr>
      </w:pPr>
      <w:r>
        <w:rPr>
          <w:b/>
          <w:color w:val="000000"/>
          <w:sz w:val="20"/>
        </w:rPr>
      </w:r>
    </w:p>
    <w:p>
      <w:pPr>
        <w:pStyle w:val="Normal"/>
        <w:ind w:start="142" w:end="0"/>
        <w:rPr/>
      </w:pPr>
      <w:r>
        <w:rPr>
          <w:color w:val="000000"/>
          <w:sz w:val="20"/>
        </w:rPr>
        <w:t>Our Memorandum dated 1st November, 1999 on "</w:t>
      </w:r>
      <w:r>
        <w:rPr>
          <w:i/>
          <w:color w:val="000000"/>
          <w:sz w:val="20"/>
        </w:rPr>
        <w:t>Derivative Transactions with PRC Counterparties</w:t>
      </w:r>
      <w:r>
        <w:rPr>
          <w:color w:val="000000"/>
          <w:sz w:val="20"/>
        </w:rPr>
        <w:t>" stated that the liquidation committee (the "</w:t>
      </w:r>
      <w:r>
        <w:rPr>
          <w:b/>
          <w:color w:val="000000"/>
          <w:sz w:val="20"/>
        </w:rPr>
        <w:t>Liquidation Committee</w:t>
      </w:r>
      <w:r>
        <w:rPr>
          <w:color w:val="000000"/>
          <w:sz w:val="20"/>
        </w:rPr>
        <w:t xml:space="preserve">") of GITIC rejected in October 1999 a number of derivative claims filed by creditors in the liquidation proceedings of GITIC.  </w:t>
      </w:r>
    </w:p>
    <w:p>
      <w:pPr>
        <w:pStyle w:val="Normal"/>
        <w:ind w:start="142" w:end="0"/>
        <w:rPr>
          <w:color w:val="000000"/>
          <w:sz w:val="20"/>
        </w:rPr>
      </w:pPr>
      <w:r>
        <w:rPr>
          <w:color w:val="000000"/>
          <w:sz w:val="20"/>
        </w:rPr>
      </w:r>
    </w:p>
    <w:p>
      <w:pPr>
        <w:pStyle w:val="Normal"/>
        <w:ind w:start="142" w:end="0"/>
        <w:rPr/>
      </w:pPr>
      <w:r>
        <w:rPr>
          <w:color w:val="000000"/>
          <w:sz w:val="20"/>
        </w:rPr>
        <w:t>The view of the Liquidation Committee was that a derivative transaction between GITIC and a foreign counterparty required a transaction specific approval from the State Administration of Foreign Exchange ("</w:t>
      </w:r>
      <w:r>
        <w:rPr>
          <w:b/>
          <w:color w:val="000000"/>
          <w:sz w:val="20"/>
        </w:rPr>
        <w:t>SAFE</w:t>
      </w:r>
      <w:r>
        <w:rPr>
          <w:color w:val="000000"/>
          <w:sz w:val="20"/>
        </w:rPr>
        <w:t xml:space="preserve">") and that since no specific approval was obtained from SAFE prior to GITIC entering into the relevant derivatives transactions, such transactions were invalid and unenforceable.  </w:t>
      </w:r>
    </w:p>
    <w:p>
      <w:pPr>
        <w:pStyle w:val="Normal"/>
        <w:ind w:start="142" w:end="0"/>
        <w:rPr>
          <w:color w:val="000000"/>
          <w:sz w:val="20"/>
        </w:rPr>
      </w:pPr>
      <w:r>
        <w:rPr>
          <w:color w:val="000000"/>
          <w:sz w:val="20"/>
        </w:rPr>
      </w:r>
    </w:p>
    <w:p>
      <w:pPr>
        <w:pStyle w:val="Normal"/>
        <w:ind w:start="142" w:end="0"/>
        <w:rPr>
          <w:color w:val="000000"/>
          <w:sz w:val="20"/>
        </w:rPr>
      </w:pPr>
      <w:r>
        <w:rPr>
          <w:color w:val="000000"/>
          <w:sz w:val="20"/>
        </w:rPr>
        <w:t xml:space="preserve">Following rejection of their swap claims, a number of swap claimants subsequently raised objections with the Liquidation Committee.  </w:t>
      </w:r>
    </w:p>
    <w:p>
      <w:pPr>
        <w:pStyle w:val="Normal"/>
        <w:ind w:start="142" w:end="0"/>
        <w:rPr>
          <w:color w:val="000000"/>
          <w:sz w:val="20"/>
        </w:rPr>
      </w:pPr>
      <w:r>
        <w:rPr>
          <w:color w:val="000000"/>
          <w:sz w:val="20"/>
        </w:rPr>
      </w:r>
    </w:p>
    <w:p>
      <w:pPr>
        <w:pStyle w:val="Normal"/>
        <w:ind w:start="142" w:end="0"/>
        <w:rPr>
          <w:b/>
          <w:color w:val="000000"/>
          <w:sz w:val="20"/>
        </w:rPr>
      </w:pPr>
      <w:r>
        <w:rPr>
          <w:b/>
          <w:color w:val="000000"/>
          <w:sz w:val="20"/>
        </w:rPr>
        <w:t>FORMAL REJECTION</w:t>
      </w:r>
    </w:p>
    <w:p>
      <w:pPr>
        <w:pStyle w:val="Normal"/>
        <w:ind w:start="142" w:end="0"/>
        <w:rPr>
          <w:b/>
          <w:color w:val="000000"/>
          <w:sz w:val="20"/>
        </w:rPr>
      </w:pPr>
      <w:r>
        <w:rPr>
          <w:b/>
          <w:color w:val="000000"/>
          <w:sz w:val="20"/>
        </w:rPr>
      </w:r>
    </w:p>
    <w:p>
      <w:pPr>
        <w:pStyle w:val="Normal"/>
        <w:ind w:start="142" w:end="0"/>
        <w:rPr>
          <w:color w:val="000000"/>
          <w:sz w:val="20"/>
        </w:rPr>
      </w:pPr>
      <w:r>
        <w:rPr>
          <w:color w:val="000000"/>
          <w:sz w:val="20"/>
        </w:rPr>
        <w:t>We understand that, as from early June 2000, swap claimants began to receive letters from the Liquidation Committee formally rejecting their objections.</w:t>
      </w:r>
    </w:p>
    <w:p>
      <w:pPr>
        <w:pStyle w:val="Normal"/>
        <w:ind w:start="2552" w:end="0"/>
        <w:rPr>
          <w:color w:val="000000"/>
          <w:sz w:val="20"/>
        </w:rPr>
      </w:pPr>
      <w:r>
        <w:rPr>
          <w:color w:val="000000"/>
          <w:sz w:val="20"/>
        </w:rPr>
      </w:r>
    </w:p>
    <w:p>
      <w:pPr>
        <w:pStyle w:val="Normal"/>
        <w:ind w:start="142" w:end="0"/>
        <w:rPr>
          <w:b/>
          <w:i/>
          <w:i/>
          <w:sz w:val="20"/>
          <w:lang w:val="en-US"/>
        </w:rPr>
      </w:pPr>
      <w:r>
        <w:rPr>
          <w:color w:val="000000"/>
          <w:sz w:val="20"/>
        </w:rPr>
        <w:t>Unlike the preliminary rejection letters to swap claimants in October 1999, the formal rejection letters from the Liquidation Committee are fairly lengthy and contain detailed rebuttals to the arguments raised by the swap claimants in their objection letters.  Some of the main arguments made by the Liquidation Committee in the formal rejection letters include:</w:t>
      </w:r>
    </w:p>
    <w:p>
      <w:pPr>
        <w:pStyle w:val="Header"/>
        <w:tabs>
          <w:tab w:val="clear" w:pos="4153"/>
          <w:tab w:val="clear" w:pos="8306"/>
        </w:tabs>
        <w:ind w:start="142" w:end="0"/>
        <w:rPr>
          <w:b/>
          <w:i/>
          <w:i/>
          <w:sz w:val="20"/>
          <w:lang w:val="en-US"/>
        </w:rPr>
      </w:pPr>
      <w:r>
        <w:rPr>
          <w:b/>
          <w:i/>
          <w:sz w:val="20"/>
          <w:lang w:val="en-US"/>
        </w:rPr>
      </w:r>
    </w:p>
    <w:p>
      <w:pPr>
        <w:pStyle w:val="Normal"/>
        <w:numPr>
          <w:ilvl w:val="0"/>
          <w:numId w:val="2"/>
        </w:numPr>
        <w:spacing w:before="0" w:after="160"/>
        <w:ind w:hanging="284" w:start="426" w:end="0"/>
        <w:rPr>
          <w:sz w:val="20"/>
        </w:rPr>
      </w:pPr>
      <w:r>
        <w:rPr>
          <w:color w:val="000000"/>
          <w:sz w:val="20"/>
        </w:rPr>
        <w:t>the relevant derivative transaction was entered into for speculation and not for hedging purposes;</w:t>
      </w:r>
    </w:p>
    <w:p>
      <w:pPr>
        <w:pStyle w:val="Normal"/>
        <w:numPr>
          <w:ilvl w:val="0"/>
          <w:numId w:val="2"/>
        </w:numPr>
        <w:spacing w:before="0" w:after="160"/>
        <w:ind w:hanging="284" w:start="426" w:end="0"/>
        <w:rPr>
          <w:sz w:val="20"/>
        </w:rPr>
      </w:pPr>
      <w:r>
        <w:rPr>
          <w:color w:val="000000"/>
          <w:sz w:val="20"/>
        </w:rPr>
        <w:t>even if the transaction were entered into for hedging purposes, a transaction specific approval was required from SAFE;</w:t>
      </w:r>
    </w:p>
    <w:p>
      <w:pPr>
        <w:sectPr>
          <w:headerReference w:type="default" r:id="rId2"/>
          <w:headerReference w:type="first" r:id="rId3"/>
          <w:footerReference w:type="default" r:id="rId4"/>
          <w:footerReference w:type="first" r:id="rId5"/>
          <w:type w:val="nextPage"/>
          <w:pgSz w:w="11906" w:h="16838"/>
          <w:pgMar w:left="3402" w:right="569" w:gutter="0" w:header="0" w:top="1701" w:footer="0" w:bottom="851"/>
          <w:pgNumType w:fmt="decimal"/>
          <w:formProt w:val="false"/>
          <w:titlePg/>
          <w:textDirection w:val="lrTb"/>
          <w:docGrid w:type="default" w:linePitch="360" w:charSpace="0"/>
        </w:sectPr>
        <w:pStyle w:val="Normal"/>
        <w:numPr>
          <w:ilvl w:val="0"/>
          <w:numId w:val="2"/>
        </w:numPr>
        <w:spacing w:before="0" w:after="160"/>
        <w:ind w:hanging="284" w:start="426" w:end="0"/>
        <w:rPr>
          <w:sz w:val="20"/>
        </w:rPr>
      </w:pPr>
      <w:r>
        <w:rPr>
          <w:color w:val="000000"/>
          <w:sz w:val="20"/>
        </w:rPr>
        <w:t>since the transaction was entered into for speculation and/or no transaction specific approval was obtained from SAFE, the relevant transaction was invalid and r</w:t>
      </w:r>
      <w:r>
        <w:rPr>
          <w:sz w:val="20"/>
        </w:rPr>
        <w:t>estitution (i.e. the return of property or payments received) is to be effected by GITIC and the relevant swap claimants; and</w:t>
      </w:r>
    </w:p>
    <w:p>
      <w:pPr>
        <w:pStyle w:val="Normal"/>
        <w:numPr>
          <w:ilvl w:val="0"/>
          <w:numId w:val="2"/>
        </w:numPr>
        <w:ind w:hanging="284" w:start="284" w:end="-567"/>
        <w:rPr/>
      </w:pPr>
      <w:r>
        <w:rPr>
          <w:sz w:val="20"/>
        </w:rPr>
        <w:t>the swap claimant could not claim damages on the ground of misrepresentation by GITIC (of its lack of capacity, authority and SAFE consents, as appropriate) since the swap claimant is equally at fault for not discovering such defect.</w:t>
      </w:r>
    </w:p>
    <w:p>
      <w:pPr>
        <w:pStyle w:val="Normal"/>
        <w:ind w:end="-567"/>
        <w:rPr>
          <w:b/>
          <w:i/>
          <w:i/>
          <w:color w:val="000000"/>
        </w:rPr>
      </w:pPr>
      <w:r>
        <w:rPr>
          <w:b/>
          <w:i/>
          <w:color w:val="000000"/>
        </w:rPr>
      </w:r>
    </w:p>
    <w:p>
      <w:pPr>
        <w:pStyle w:val="Normal"/>
        <w:ind w:end="-567"/>
        <w:rPr>
          <w:b/>
          <w:color w:val="000000"/>
          <w:sz w:val="20"/>
        </w:rPr>
      </w:pPr>
      <w:r>
        <w:rPr>
          <w:b/>
          <w:color w:val="000000"/>
          <w:sz w:val="20"/>
        </w:rPr>
        <w:t>Hedging or speculation</w:t>
      </w:r>
    </w:p>
    <w:p>
      <w:pPr>
        <w:pStyle w:val="Normal"/>
        <w:ind w:end="-567"/>
        <w:rPr>
          <w:b/>
          <w:color w:val="000000"/>
          <w:sz w:val="20"/>
        </w:rPr>
      </w:pPr>
      <w:r>
        <w:rPr>
          <w:b/>
          <w:color w:val="000000"/>
          <w:sz w:val="20"/>
        </w:rPr>
      </w:r>
    </w:p>
    <w:p>
      <w:pPr>
        <w:pStyle w:val="Normal"/>
        <w:ind w:end="-567"/>
        <w:rPr>
          <w:sz w:val="20"/>
        </w:rPr>
      </w:pPr>
      <w:r>
        <w:rPr>
          <w:color w:val="000000"/>
          <w:sz w:val="20"/>
        </w:rPr>
        <w:t xml:space="preserve">The Liquidation Committee stated broadly in the formal rejection letters that the relevant derivative transactions were entered into for speculation and not for hedging purposes. </w:t>
      </w:r>
    </w:p>
    <w:p>
      <w:pPr>
        <w:pStyle w:val="Normal"/>
        <w:ind w:end="-567"/>
        <w:rPr>
          <w:color w:val="000000"/>
          <w:sz w:val="20"/>
        </w:rPr>
      </w:pPr>
      <w:r>
        <w:rPr>
          <w:color w:val="000000"/>
          <w:sz w:val="20"/>
        </w:rPr>
      </w:r>
    </w:p>
    <w:p>
      <w:pPr>
        <w:pStyle w:val="Normal"/>
        <w:ind w:end="-567"/>
        <w:rPr>
          <w:color w:val="000000"/>
          <w:sz w:val="20"/>
        </w:rPr>
      </w:pPr>
      <w:r>
        <w:rPr>
          <w:color w:val="000000"/>
          <w:sz w:val="20"/>
        </w:rPr>
        <w:t>Whilst it is clearly a question of fact whether a derivative transaction was entered into for hedging purposes or speculation in each case, a doubt remains whether the Liquidation Committee had the requisite information to make such a factual determination.  This is the case since it is widely believed that most claimants only made a legal submission on matters of PRC law in their objection letters and did not submit any evidence to substantiate that the relevant transaction was entered into for hedging or other purposes.</w:t>
      </w:r>
    </w:p>
    <w:p>
      <w:pPr>
        <w:pStyle w:val="Normal"/>
        <w:ind w:end="-567"/>
        <w:rPr>
          <w:color w:val="000000"/>
          <w:sz w:val="20"/>
        </w:rPr>
      </w:pPr>
      <w:r>
        <w:rPr>
          <w:color w:val="000000"/>
          <w:sz w:val="20"/>
        </w:rPr>
      </w:r>
    </w:p>
    <w:p>
      <w:pPr>
        <w:pStyle w:val="Normal"/>
        <w:ind w:end="-567"/>
        <w:rPr>
          <w:b/>
          <w:color w:val="000000"/>
          <w:sz w:val="20"/>
        </w:rPr>
      </w:pPr>
      <w:r>
        <w:rPr>
          <w:b/>
          <w:color w:val="000000"/>
          <w:sz w:val="20"/>
        </w:rPr>
        <w:t>Transaction specific approval</w:t>
      </w:r>
    </w:p>
    <w:p>
      <w:pPr>
        <w:pStyle w:val="Normal"/>
        <w:ind w:end="-567"/>
        <w:rPr>
          <w:b/>
          <w:color w:val="000000"/>
          <w:sz w:val="20"/>
        </w:rPr>
      </w:pPr>
      <w:r>
        <w:rPr>
          <w:b/>
          <w:color w:val="000000"/>
          <w:sz w:val="20"/>
        </w:rPr>
      </w:r>
    </w:p>
    <w:p>
      <w:pPr>
        <w:pStyle w:val="Normal"/>
        <w:ind w:end="-567"/>
        <w:rPr/>
      </w:pPr>
      <w:r>
        <w:rPr>
          <w:color w:val="000000"/>
          <w:sz w:val="20"/>
        </w:rPr>
        <w:t>The Liquidation Committee went on to state that, even if the derivative transaction was entered into for hedging purposes, a transaction specific approval was required from SAFE under the "</w:t>
      </w:r>
      <w:r>
        <w:rPr>
          <w:i/>
          <w:color w:val="000000"/>
          <w:sz w:val="20"/>
        </w:rPr>
        <w:t>Notice regarding the Prohibition of Derivative Transactions Conducted by Financial Institutions Outside China at their Own Discretion</w:t>
      </w:r>
      <w:r>
        <w:rPr>
          <w:color w:val="000000"/>
          <w:sz w:val="20"/>
        </w:rPr>
        <w:t>" promulgated by the People's Bank of China on 29th March, 1995 (the "</w:t>
      </w:r>
      <w:r>
        <w:rPr>
          <w:b/>
          <w:color w:val="000000"/>
          <w:sz w:val="20"/>
        </w:rPr>
        <w:t>1995 Notice</w:t>
      </w:r>
      <w:r>
        <w:rPr>
          <w:color w:val="000000"/>
          <w:sz w:val="20"/>
        </w:rPr>
        <w:t>").  This was the ground for rejection stated in the preliminary rejection letter of the Liquidation Committee in October 1999.</w:t>
      </w:r>
    </w:p>
    <w:p>
      <w:pPr>
        <w:pStyle w:val="Normal"/>
        <w:ind w:end="-567"/>
        <w:rPr>
          <w:color w:val="000000"/>
          <w:sz w:val="20"/>
        </w:rPr>
      </w:pPr>
      <w:r>
        <w:rPr>
          <w:color w:val="000000"/>
          <w:sz w:val="20"/>
        </w:rPr>
      </w:r>
    </w:p>
    <w:p>
      <w:pPr>
        <w:pStyle w:val="Normal"/>
        <w:ind w:end="-567"/>
        <w:rPr>
          <w:color w:val="000000"/>
          <w:sz w:val="20"/>
        </w:rPr>
      </w:pPr>
      <w:r>
        <w:rPr>
          <w:color w:val="000000"/>
          <w:sz w:val="20"/>
        </w:rPr>
        <w:t>The Liquidation Committee dealt at length with the submission of the claimants that there was no need for a transaction specific approval and that the requirements were satisfied so long as GITIC was approved to conduct such business by SAFE under the relevant Foreign Exchange Business Licence (i.e. the derivative transaction fell within the scope of the Licence) and that such derivative transaction was entered into for hedging purposes.</w:t>
      </w:r>
    </w:p>
    <w:p>
      <w:pPr>
        <w:pStyle w:val="Normal"/>
        <w:ind w:end="-567"/>
        <w:rPr>
          <w:color w:val="000000"/>
          <w:sz w:val="20"/>
        </w:rPr>
      </w:pPr>
      <w:r>
        <w:rPr>
          <w:color w:val="000000"/>
          <w:sz w:val="20"/>
        </w:rPr>
      </w:r>
    </w:p>
    <w:p>
      <w:pPr>
        <w:pStyle w:val="Normal"/>
        <w:ind w:end="-567"/>
        <w:rPr>
          <w:color w:val="000000"/>
          <w:sz w:val="20"/>
        </w:rPr>
      </w:pPr>
      <w:r>
        <w:rPr>
          <w:color w:val="000000"/>
          <w:sz w:val="20"/>
        </w:rPr>
        <w:t xml:space="preserve">It is of significance to note that the Liquidation Committee disposed of the argument that no procedure had been set up in SAFE for approving derivative transactions on a case-by-case basis by claiming that SAFE had in fact installed such an approval mechanism.  It is indeed doubtful as to the precise basis for the claim of the Liquidation Committee since this is clearly contrary to the informal confirmation given by SAFE Beijing in response to questions from foreign swap counterparties.  </w:t>
      </w:r>
    </w:p>
    <w:p>
      <w:pPr>
        <w:pStyle w:val="Normal"/>
        <w:ind w:end="-567"/>
        <w:rPr>
          <w:color w:val="000000"/>
          <w:sz w:val="20"/>
          <w:lang w:val="en-US"/>
        </w:rPr>
      </w:pPr>
      <w:r>
        <w:rPr>
          <w:color w:val="000000"/>
          <w:sz w:val="20"/>
          <w:lang w:val="en-US"/>
        </w:rPr>
      </w:r>
    </w:p>
    <w:p>
      <w:pPr>
        <w:pStyle w:val="Normal"/>
        <w:ind w:end="-567"/>
        <w:rPr>
          <w:b/>
          <w:color w:val="000000"/>
          <w:sz w:val="20"/>
        </w:rPr>
      </w:pPr>
      <w:r>
        <w:rPr>
          <w:b/>
          <w:color w:val="000000"/>
          <w:sz w:val="20"/>
        </w:rPr>
        <w:t>Invalid transactions</w:t>
      </w:r>
    </w:p>
    <w:p>
      <w:pPr>
        <w:pStyle w:val="Normal"/>
        <w:ind w:end="-567"/>
        <w:rPr>
          <w:b/>
          <w:color w:val="000000"/>
          <w:sz w:val="20"/>
        </w:rPr>
      </w:pPr>
      <w:r>
        <w:rPr>
          <w:b/>
          <w:color w:val="000000"/>
          <w:sz w:val="20"/>
        </w:rPr>
      </w:r>
    </w:p>
    <w:p>
      <w:pPr>
        <w:pStyle w:val="Normal"/>
        <w:ind w:end="-567"/>
        <w:rPr>
          <w:sz w:val="20"/>
        </w:rPr>
      </w:pPr>
      <w:r>
        <w:rPr>
          <w:color w:val="000000"/>
          <w:sz w:val="20"/>
        </w:rPr>
        <w:t>On the basis that the derivative transaction was entered into for speculation and that (even if the transaction was entered into for hedging purposes) no transaction specific SAFE approval was obtained, the Liquidation Committee argued that the relevant transaction was invalid under Article 58 of the "</w:t>
      </w:r>
      <w:r>
        <w:rPr>
          <w:i/>
          <w:color w:val="000000"/>
          <w:sz w:val="20"/>
        </w:rPr>
        <w:t>General Principles of Civil Law</w:t>
      </w:r>
      <w:r>
        <w:rPr>
          <w:color w:val="000000"/>
          <w:sz w:val="20"/>
        </w:rPr>
        <w:t>".</w:t>
      </w:r>
    </w:p>
    <w:p>
      <w:pPr>
        <w:pStyle w:val="Normal"/>
        <w:ind w:end="-567"/>
        <w:rPr>
          <w:color w:val="000000"/>
          <w:sz w:val="20"/>
        </w:rPr>
      </w:pPr>
      <w:r>
        <w:rPr>
          <w:color w:val="000000"/>
          <w:sz w:val="20"/>
        </w:rPr>
      </w:r>
    </w:p>
    <w:p>
      <w:pPr>
        <w:pStyle w:val="Normal"/>
        <w:ind w:end="-567"/>
        <w:rPr>
          <w:color w:val="000000"/>
          <w:sz w:val="20"/>
        </w:rPr>
      </w:pPr>
      <w:r>
        <w:rPr>
          <w:color w:val="000000"/>
          <w:sz w:val="20"/>
        </w:rPr>
        <w:t>Some swap claimants submitted in their objection letters that, even in the unlikely event that the derivative transactions were carried out by GITIC for speculation or that a transaction specific SAFE approval was required for a derivative transaction, any violation of the 1995 Notice would result in sanction and penalty for GITIC and its responsible officers but would not affect the essential validity of the derivative transactions.  The swap claimants also pointed out that the 1995 Notice did not constitute mandatory provisions of PRC laws and administrative regulations since it was not promulgated by the National People's Congress of the PRC or its Standing Committee or the State Council.</w:t>
      </w:r>
    </w:p>
    <w:p>
      <w:pPr>
        <w:pStyle w:val="Normal"/>
        <w:ind w:end="-567"/>
        <w:rPr>
          <w:color w:val="000000"/>
          <w:sz w:val="20"/>
        </w:rPr>
      </w:pPr>
      <w:r>
        <w:rPr>
          <w:color w:val="000000"/>
          <w:sz w:val="20"/>
        </w:rPr>
      </w:r>
    </w:p>
    <w:p>
      <w:pPr>
        <w:pStyle w:val="Normal"/>
        <w:ind w:end="-567"/>
        <w:rPr/>
      </w:pPr>
      <w:r>
        <w:rPr>
          <w:color w:val="000000"/>
          <w:sz w:val="20"/>
        </w:rPr>
        <w:t>However, the Liquidation Committee proceeded to reject the arguments of the swap claimants and stated that the derivative transactions were invalid and that r</w:t>
      </w:r>
      <w:r>
        <w:rPr>
          <w:sz w:val="20"/>
        </w:rPr>
        <w:t>estitution (i.e. the return of property or payments received) was to be effected by GITIC and the relevant swap claimants.</w:t>
      </w:r>
    </w:p>
    <w:p>
      <w:pPr>
        <w:pStyle w:val="Normal"/>
        <w:ind w:end="-567"/>
        <w:rPr>
          <w:b/>
          <w:color w:val="000000"/>
          <w:sz w:val="20"/>
        </w:rPr>
      </w:pPr>
      <w:r>
        <w:rPr>
          <w:b/>
          <w:color w:val="000000"/>
          <w:sz w:val="20"/>
        </w:rPr>
      </w:r>
    </w:p>
    <w:p>
      <w:pPr>
        <w:pStyle w:val="Normal"/>
        <w:ind w:end="-567"/>
        <w:rPr>
          <w:b/>
          <w:color w:val="000000"/>
          <w:sz w:val="20"/>
        </w:rPr>
      </w:pPr>
      <w:r>
        <w:rPr>
          <w:b/>
          <w:color w:val="000000"/>
          <w:sz w:val="20"/>
        </w:rPr>
        <w:t>Duty to investigate</w:t>
      </w:r>
    </w:p>
    <w:p>
      <w:pPr>
        <w:pStyle w:val="Normal"/>
        <w:ind w:end="-567"/>
        <w:rPr>
          <w:b/>
          <w:color w:val="000000"/>
          <w:sz w:val="20"/>
        </w:rPr>
      </w:pPr>
      <w:r>
        <w:rPr>
          <w:b/>
          <w:color w:val="000000"/>
          <w:sz w:val="20"/>
        </w:rPr>
      </w:r>
    </w:p>
    <w:p>
      <w:pPr>
        <w:pStyle w:val="Normal"/>
        <w:ind w:end="-567"/>
        <w:rPr>
          <w:sz w:val="20"/>
        </w:rPr>
      </w:pPr>
      <w:r>
        <w:rPr>
          <w:sz w:val="20"/>
        </w:rPr>
        <w:t xml:space="preserve">Some swap claimants argued in their objection letters that, even assuming that the derivative transactions were invalid, GITIC committed material misrepresentations (since GITIC represented that it had capacity, authority and SAFE approval to enter into the transactions) and should be held liable for the losses and costs suffered by such swap claimants as a result of such misrepresentations.  </w:t>
      </w:r>
    </w:p>
    <w:p>
      <w:pPr>
        <w:sectPr>
          <w:headerReference w:type="default" r:id="rId6"/>
          <w:headerReference w:type="first" r:id="rId7"/>
          <w:footerReference w:type="default" r:id="rId8"/>
          <w:footerReference w:type="first" r:id="rId9"/>
          <w:type w:val="nextPage"/>
          <w:pgSz w:w="11906" w:h="16838"/>
          <w:pgMar w:left="1134" w:right="1703" w:gutter="0" w:header="1135" w:top="1958" w:footer="386" w:bottom="851"/>
          <w:pgNumType w:fmt="decimal"/>
          <w:formProt w:val="false"/>
          <w:titlePg/>
          <w:textDirection w:val="lrTb"/>
          <w:docGrid w:type="default" w:linePitch="360" w:charSpace="0"/>
        </w:sectPr>
        <w:pStyle w:val="Normal"/>
        <w:ind w:end="-567"/>
        <w:rPr>
          <w:sz w:val="20"/>
        </w:rPr>
      </w:pPr>
      <w:r>
        <w:rPr>
          <w:sz w:val="20"/>
        </w:rPr>
      </w:r>
    </w:p>
    <w:p>
      <w:pPr>
        <w:pStyle w:val="Normal"/>
        <w:ind w:end="-567"/>
        <w:rPr/>
      </w:pPr>
      <w:r>
        <w:rPr>
          <w:sz w:val="20"/>
        </w:rPr>
        <w:t xml:space="preserve">The Liquidation Committee however rejected the claims of such swap claimants </w:t>
      </w:r>
      <w:r>
        <w:rPr>
          <w:color w:val="000000"/>
          <w:sz w:val="20"/>
        </w:rPr>
        <w:t xml:space="preserve">in the formal rejection letters </w:t>
      </w:r>
      <w:r>
        <w:rPr>
          <w:sz w:val="20"/>
        </w:rPr>
        <w:t>on the ground that the swap claimants were equally at fault.  The reason given by the Liquidation Committee was that PRC was a country which imposed exchange controls which did not permit PRC financial institutions to enter into derivative transactions without authorisations and that the swap claimants were responsible for investigating with SAFE the ability of GITIC to enter into derivative transactions.</w:t>
      </w:r>
    </w:p>
    <w:p>
      <w:pPr>
        <w:pStyle w:val="Normal"/>
        <w:ind w:end="-567"/>
        <w:rPr>
          <w:sz w:val="20"/>
        </w:rPr>
      </w:pPr>
      <w:r>
        <w:rPr>
          <w:sz w:val="20"/>
        </w:rPr>
      </w:r>
    </w:p>
    <w:p>
      <w:pPr>
        <w:pStyle w:val="Normal"/>
        <w:ind w:end="-567"/>
        <w:rPr>
          <w:sz w:val="20"/>
        </w:rPr>
      </w:pPr>
      <w:r>
        <w:rPr>
          <w:sz w:val="20"/>
        </w:rPr>
        <w:t xml:space="preserve">It is believed that the swap claimants generally carried out extensive factual and legal due diligence before entering into transactions with GITIC.  These steps included: investigating the facts surrounding the transactions, requiring GITIC to make relevant factual representations, reviewing various licences and authorisations of GITIC, and procuring PRC legal opinions from reputable law firms confirming that GITIC had requisite capacity and authority and had obtained all regulatory approvals to enter into derivative transactions.  In a number of these cases, informal enquiries were also made to SAFE through local PRC law firms in relation to the ability of GITIC to enter into derivative transactions.  </w:t>
      </w:r>
    </w:p>
    <w:p>
      <w:pPr>
        <w:pStyle w:val="Normal"/>
        <w:ind w:end="-567"/>
        <w:rPr>
          <w:sz w:val="20"/>
        </w:rPr>
      </w:pPr>
      <w:r>
        <w:rPr>
          <w:sz w:val="20"/>
        </w:rPr>
      </w:r>
    </w:p>
    <w:p>
      <w:pPr>
        <w:pStyle w:val="Normal"/>
        <w:ind w:end="-567"/>
        <w:rPr>
          <w:sz w:val="20"/>
        </w:rPr>
      </w:pPr>
      <w:r>
        <w:rPr>
          <w:sz w:val="20"/>
        </w:rPr>
        <w:t>Notwithstanding the carrying out of all the steps set out above, it would not have been obvious to any swap claimant that a transaction specific SAFE approval was required.  The fact is that the transaction specific SAFE approval was only raised for the first time by the Liquidation Committee in its preliminary rejection letters in October 1999.  The Liquidation Committee did not state, and it is indeed difficult to see, what further action could have been undertaken by the swap claimants before entering into the transactions with GITIC.</w:t>
      </w:r>
    </w:p>
    <w:p>
      <w:pPr>
        <w:pStyle w:val="Normal"/>
        <w:ind w:end="-567"/>
        <w:rPr>
          <w:sz w:val="20"/>
          <w:lang w:val="en-US"/>
        </w:rPr>
      </w:pPr>
      <w:r>
        <w:rPr>
          <w:sz w:val="20"/>
          <w:lang w:val="en-US"/>
        </w:rPr>
      </w:r>
    </w:p>
    <w:p>
      <w:pPr>
        <w:pStyle w:val="Normal"/>
        <w:ind w:end="-567"/>
        <w:rPr>
          <w:b/>
          <w:color w:val="000000"/>
          <w:sz w:val="20"/>
        </w:rPr>
      </w:pPr>
      <w:r>
        <w:rPr>
          <w:b/>
          <w:color w:val="000000"/>
          <w:sz w:val="20"/>
        </w:rPr>
        <w:t>EFFECT OF THE REJECTION</w:t>
      </w:r>
    </w:p>
    <w:p>
      <w:pPr>
        <w:pStyle w:val="Normal"/>
        <w:ind w:end="-567"/>
        <w:rPr>
          <w:b/>
          <w:color w:val="000000"/>
          <w:sz w:val="20"/>
        </w:rPr>
      </w:pPr>
      <w:r>
        <w:rPr>
          <w:b/>
          <w:color w:val="000000"/>
          <w:sz w:val="20"/>
        </w:rPr>
      </w:r>
    </w:p>
    <w:p>
      <w:pPr>
        <w:pStyle w:val="Normal"/>
        <w:spacing w:lineRule="atLeast" w:line="240"/>
        <w:ind w:end="-567"/>
        <w:rPr/>
      </w:pPr>
      <w:r>
        <w:rPr>
          <w:color w:val="000000"/>
          <w:sz w:val="20"/>
        </w:rPr>
        <w:t>If the swap claimants do not accept the formal rejections by the Liquidation Committee, they are required to submit their objections to the Collegiate Bench of First Economic Tribunal, Guangdong Provincial High Court for an official verdict.  If the High Court were to rule in favour of the Liquidation Committee, under Section 75 of "</w:t>
      </w:r>
      <w:r>
        <w:rPr>
          <w:i/>
          <w:color w:val="000000"/>
          <w:sz w:val="20"/>
        </w:rPr>
        <w:t>Supreme Court’s interpretations to the PRC State Enterprise Insolvency Law (Trial)</w:t>
      </w:r>
      <w:r>
        <w:rPr>
          <w:color w:val="000000"/>
          <w:sz w:val="20"/>
        </w:rPr>
        <w:t xml:space="preserve">", such ruling would not be the subject of any appeal to a higher court and the claimant would only be entitled to request review by the High Court once. </w:t>
      </w:r>
    </w:p>
    <w:p>
      <w:pPr>
        <w:pStyle w:val="Normal"/>
        <w:ind w:end="-567"/>
        <w:rPr>
          <w:color w:val="000000"/>
          <w:sz w:val="20"/>
        </w:rPr>
      </w:pPr>
      <w:r>
        <w:rPr>
          <w:color w:val="000000"/>
          <w:sz w:val="20"/>
        </w:rPr>
      </w:r>
    </w:p>
    <w:p>
      <w:pPr>
        <w:pStyle w:val="Normal"/>
        <w:ind w:end="-567"/>
        <w:rPr>
          <w:color w:val="000000"/>
          <w:sz w:val="20"/>
        </w:rPr>
      </w:pPr>
      <w:r>
        <w:rPr>
          <w:color w:val="000000"/>
          <w:sz w:val="20"/>
        </w:rPr>
        <w:t xml:space="preserve">Although the position taken by the Liquidation Committee is not law and does not have any binding legal effect, it does cast a doubt on the validity and enforceability of all existing derivative transactions between foreign counterparties on one hand and PRC banks and non-bank financial institutions on the other.  </w:t>
      </w:r>
    </w:p>
    <w:p>
      <w:pPr>
        <w:pStyle w:val="Normal"/>
        <w:ind w:end="-567"/>
        <w:rPr>
          <w:color w:val="000000"/>
          <w:sz w:val="20"/>
        </w:rPr>
      </w:pPr>
      <w:r>
        <w:rPr>
          <w:color w:val="000000"/>
          <w:sz w:val="20"/>
        </w:rPr>
      </w:r>
    </w:p>
    <w:p>
      <w:pPr>
        <w:pStyle w:val="Normal"/>
        <w:ind w:end="-567"/>
        <w:rPr>
          <w:sz w:val="20"/>
        </w:rPr>
      </w:pPr>
      <w:r>
        <w:rPr>
          <w:sz w:val="20"/>
        </w:rPr>
        <w:t xml:space="preserve">In the event that a transaction specific SAFE approval is required, many existing derivative transactions between foreign counterparties and PRC institutions would be invalid and unenforceable.  This result has far-reaching implications:  PRC institutions that hold appropriate licenses and have entered into derivative transactions solely for legitimate purposes, as well as foreign counterparties, may find that they are (and have for the life of the transaction been) subject to risks which they thought had been properly hedged.  PRC institutions will also have made material misrepresentations to foreign counterparties which may cause PRC institutions to be in default of the relevant agreements governing the derivative transactions, which default may also trigger a cross-default of a variety of other agreements including bonds, loans and other financial arrangements having potential liquidity and market implications.  </w:t>
      </w:r>
    </w:p>
    <w:p>
      <w:pPr>
        <w:pStyle w:val="Normal"/>
        <w:ind w:end="-567"/>
        <w:rPr>
          <w:sz w:val="20"/>
        </w:rPr>
      </w:pPr>
      <w:r>
        <w:rPr>
          <w:sz w:val="20"/>
        </w:rPr>
      </w:r>
    </w:p>
    <w:p>
      <w:pPr>
        <w:pStyle w:val="Normal"/>
        <w:ind w:end="-567"/>
        <w:rPr>
          <w:sz w:val="20"/>
        </w:rPr>
      </w:pPr>
      <w:r>
        <w:rPr>
          <w:sz w:val="20"/>
        </w:rPr>
        <w:t>Although various enquiries have to-date been made with the People's Bank of China and SAFE on the requirement of transaction specific approval under the 1995 Notice and the procedure (if any) for such approval, responses are far from definitive.  For example, it has been raised whether a retroactive approval could be granted in relation to existing transactions (just in case a transaction specific approval turns out to be necessary) although we are not aware of any such retroactive approval having been given.  In relation to new derivative transactions to be entered into with PRC banks and financial institutions, prudent foreign counterparties have also raised the requirement of transaction specific approval from SAFE and it is not clear whether or not SAFE has given any transaction specific approval to-date.  In any event, even if SAFE installs an approval procedure, the requirement for a transaction specific approval may prove to be commercially unattractive and may hamper the development of derivative business in the PRC.</w:t>
      </w:r>
    </w:p>
    <w:p>
      <w:pPr>
        <w:pStyle w:val="Normal"/>
        <w:ind w:end="-567"/>
        <w:rPr>
          <w:sz w:val="20"/>
        </w:rPr>
      </w:pPr>
      <w:r>
        <w:rPr>
          <w:sz w:val="20"/>
        </w:rPr>
      </w:r>
    </w:p>
    <w:p>
      <w:pPr>
        <w:sectPr>
          <w:headerReference w:type="default" r:id="rId10"/>
          <w:headerReference w:type="first" r:id="rId11"/>
          <w:footerReference w:type="default" r:id="rId12"/>
          <w:footerReference w:type="first" r:id="rId13"/>
          <w:type w:val="nextPage"/>
          <w:pgSz w:w="11906" w:h="16838"/>
          <w:pgMar w:left="1134" w:right="1703" w:gutter="0" w:header="1135" w:top="1958" w:footer="386" w:bottom="851"/>
          <w:pgNumType w:fmt="decimal"/>
          <w:formProt w:val="false"/>
          <w:titlePg/>
          <w:textDirection w:val="lrTb"/>
          <w:docGrid w:type="default" w:linePitch="360" w:charSpace="0"/>
        </w:sectPr>
        <w:pStyle w:val="Normal"/>
        <w:ind w:end="-567"/>
        <w:rPr/>
      </w:pPr>
      <w:r>
        <w:rPr>
          <w:sz w:val="20"/>
        </w:rPr>
        <w:t>Various uncertainties have also surfaced in relation to the application of the 1995 Notice as a result of the position taken by the Liquidation Committee.  For example, it has been questioned whether the 1995 Notice would also apply to overseas branches of PRC financial institutions outside the PRC.  The scope of the derivative products covered by the 1995 Notice has also been queried:  does the 1995 Notice apply to over-the-counter financial derivatives transactions only or does it also apply to repurchase transactions or transactions involving derivative securities or primary market instruments (such as credit linked notes)?  A question also arises as to whether a lack of transaction specific SAFE approval affect the "capacity" of the PRC institution to enter into derivative transactions resulting in the transaction being void (irrespective of the application of Article 58 of the "</w:t>
      </w:r>
      <w:r>
        <w:rPr>
          <w:i/>
          <w:sz w:val="20"/>
        </w:rPr>
        <w:t>General</w:t>
      </w:r>
      <w:r>
        <w:rPr>
          <w:sz w:val="20"/>
        </w:rPr>
        <w:t xml:space="preserve"> </w:t>
      </w:r>
      <w:r>
        <w:rPr>
          <w:i/>
          <w:sz w:val="20"/>
        </w:rPr>
        <w:t>Principles of Civil Law</w:t>
      </w:r>
      <w:r>
        <w:rPr>
          <w:sz w:val="20"/>
        </w:rPr>
        <w:t>").</w:t>
      </w:r>
    </w:p>
    <w:p>
      <w:pPr>
        <w:pStyle w:val="Normal"/>
        <w:ind w:end="-567"/>
        <w:rPr/>
      </w:pPr>
      <w:r>
        <w:rPr>
          <w:sz w:val="20"/>
          <w:lang w:eastAsia="en-US"/>
        </w:rPr>
        <w:t>If you require further information on any of the matters raised in this</w:t>
      </w:r>
      <w:r>
        <w:rPr>
          <w:i/>
          <w:sz w:val="20"/>
          <w:lang w:eastAsia="en-US"/>
        </w:rPr>
        <w:t xml:space="preserve"> Bulletin</w:t>
      </w:r>
      <w:r>
        <w:rPr>
          <w:sz w:val="20"/>
          <w:lang w:eastAsia="en-US"/>
        </w:rPr>
        <w:t xml:space="preserve">, please call </w:t>
      </w:r>
      <w:r>
        <w:rPr>
          <w:b/>
          <w:sz w:val="20"/>
        </w:rPr>
        <w:t>Chin-Chong Liew</w:t>
      </w:r>
      <w:r>
        <w:rPr>
          <w:sz w:val="20"/>
        </w:rPr>
        <w:t xml:space="preserve"> or </w:t>
      </w:r>
      <w:r>
        <w:rPr>
          <w:b/>
          <w:sz w:val="20"/>
        </w:rPr>
        <w:t>Emily Yu</w:t>
      </w:r>
      <w:r>
        <w:rPr>
          <w:sz w:val="20"/>
        </w:rPr>
        <w:t xml:space="preserve"> in our Hong Kong office or </w:t>
      </w:r>
      <w:r>
        <w:rPr>
          <w:b/>
          <w:sz w:val="20"/>
        </w:rPr>
        <w:t>Bill Tong</w:t>
      </w:r>
      <w:r>
        <w:rPr>
          <w:sz w:val="20"/>
        </w:rPr>
        <w:t xml:space="preserve"> in our Beijing office or </w:t>
      </w:r>
      <w:r>
        <w:rPr>
          <w:sz w:val="20"/>
          <w:lang w:eastAsia="en-US"/>
        </w:rPr>
        <w:t>your usual contact at Allen &amp; Overy</w:t>
      </w:r>
      <w:r>
        <w:rPr>
          <w:sz w:val="20"/>
        </w:rPr>
        <w:t>.</w:t>
      </w:r>
    </w:p>
    <w:p>
      <w:pPr>
        <w:pStyle w:val="Normal"/>
        <w:ind w:end="-567"/>
        <w:rPr>
          <w:sz w:val="20"/>
        </w:rPr>
      </w:pPr>
      <w:r>
        <w:rPr>
          <w:sz w:val="20"/>
        </w:rPr>
      </w:r>
    </w:p>
    <w:p>
      <w:pPr>
        <w:pStyle w:val="Normal"/>
        <w:rPr>
          <w:sz w:val="20"/>
        </w:rPr>
      </w:pPr>
      <w:r>
        <w:rPr>
          <w:rFonts w:cs="CopprplGoth BT" w:ascii="CopprplGoth BT" w:hAnsi="CopprplGoth BT"/>
          <w:sz w:val="20"/>
        </w:rPr>
        <w:t>ALLEN &amp; OVERY</w:t>
        <w:tab/>
        <w:tab/>
        <w:tab/>
      </w:r>
      <w:r>
        <w:rPr>
          <w:rFonts w:cs="CopprplGoth BT" w:ascii="CopprplGoth BT" w:hAnsi="CopprplGoth BT"/>
          <w:sz w:val="20"/>
          <w:lang w:eastAsia="en-US"/>
        </w:rPr>
        <w:t>ALLEN &amp; OVERY</w:t>
      </w:r>
    </w:p>
    <w:p>
      <w:pPr>
        <w:pStyle w:val="Normal"/>
        <w:rPr/>
      </w:pPr>
      <w:r>
        <w:rPr>
          <w:sz w:val="20"/>
        </w:rPr>
        <w:t>9th Floor</w:t>
        <w:tab/>
        <w:tab/>
        <w:tab/>
        <w:tab/>
      </w:r>
      <w:r>
        <w:rPr>
          <w:sz w:val="20"/>
          <w:lang w:eastAsia="en-US"/>
        </w:rPr>
        <w:t>Unit 518, Tower 2</w:t>
      </w:r>
      <w:r>
        <w:rPr>
          <w:sz w:val="20"/>
        </w:rPr>
        <w:tab/>
        <w:tab/>
      </w:r>
    </w:p>
    <w:p>
      <w:pPr>
        <w:pStyle w:val="Normal"/>
        <w:rPr>
          <w:sz w:val="20"/>
        </w:rPr>
      </w:pPr>
      <w:r>
        <w:rPr>
          <w:sz w:val="20"/>
        </w:rPr>
        <w:t>Three Exchange Square</w:t>
        <w:tab/>
        <w:tab/>
        <w:tab/>
      </w:r>
      <w:r>
        <w:rPr>
          <w:sz w:val="20"/>
          <w:lang w:eastAsia="en-US"/>
        </w:rPr>
        <w:t>Bright China Chang An Building</w:t>
      </w:r>
    </w:p>
    <w:p>
      <w:pPr>
        <w:pStyle w:val="Normal"/>
        <w:rPr>
          <w:sz w:val="20"/>
        </w:rPr>
      </w:pPr>
      <w:r>
        <w:rPr>
          <w:sz w:val="20"/>
        </w:rPr>
        <w:t>Central</w:t>
        <w:tab/>
        <w:tab/>
        <w:tab/>
        <w:tab/>
        <w:tab/>
      </w:r>
      <w:r>
        <w:rPr>
          <w:sz w:val="20"/>
          <w:lang w:eastAsia="en-US"/>
        </w:rPr>
        <w:t>7 Jianguomennei Dajie</w:t>
      </w:r>
    </w:p>
    <w:p>
      <w:pPr>
        <w:pStyle w:val="Normal"/>
        <w:rPr>
          <w:sz w:val="20"/>
        </w:rPr>
      </w:pPr>
      <w:r>
        <w:rPr>
          <w:sz w:val="20"/>
        </w:rPr>
        <w:t>Hong Kong</w:t>
        <w:tab/>
        <w:tab/>
        <w:tab/>
        <w:tab/>
      </w:r>
      <w:r>
        <w:rPr>
          <w:sz w:val="20"/>
          <w:lang w:eastAsia="en-US"/>
        </w:rPr>
        <w:t>Dongcheng District</w:t>
      </w:r>
    </w:p>
    <w:p>
      <w:pPr>
        <w:pStyle w:val="Normal"/>
        <w:rPr>
          <w:sz w:val="20"/>
        </w:rPr>
      </w:pPr>
      <w:r>
        <w:rPr>
          <w:sz w:val="20"/>
        </w:rPr>
        <w:tab/>
        <w:tab/>
        <w:tab/>
        <w:tab/>
        <w:tab/>
      </w:r>
      <w:r>
        <w:rPr>
          <w:sz w:val="20"/>
          <w:lang w:eastAsia="en-US"/>
        </w:rPr>
        <w:t>Beijing 100005</w:t>
      </w:r>
    </w:p>
    <w:p>
      <w:pPr>
        <w:pStyle w:val="Normal"/>
        <w:rPr>
          <w:sz w:val="20"/>
        </w:rPr>
      </w:pPr>
      <w:r>
        <w:rPr>
          <w:sz w:val="20"/>
        </w:rPr>
      </w:r>
    </w:p>
    <w:p>
      <w:pPr>
        <w:pStyle w:val="Normal"/>
        <w:rPr>
          <w:sz w:val="20"/>
        </w:rPr>
      </w:pPr>
      <w:r>
        <w:rPr>
          <w:sz w:val="20"/>
        </w:rPr>
        <w:t>Tel:</w:t>
        <w:tab/>
        <w:t>+852 2974 7000</w:t>
        <w:tab/>
        <w:tab/>
        <w:tab/>
        <w:t>Tel:</w:t>
        <w:tab/>
        <w:t>+86 10 6510 2368</w:t>
      </w:r>
    </w:p>
    <w:p>
      <w:pPr>
        <w:pStyle w:val="Normal"/>
        <w:rPr>
          <w:sz w:val="20"/>
        </w:rPr>
      </w:pPr>
      <w:r>
        <w:rPr>
          <w:sz w:val="20"/>
        </w:rPr>
        <w:t>Fax:</w:t>
        <w:tab/>
        <w:t>+852 2974 6999</w:t>
        <w:tab/>
        <w:tab/>
        <w:tab/>
        <w:t>Fax:</w:t>
        <w:tab/>
        <w:t>+86 10 6510 2378</w:t>
      </w:r>
    </w:p>
    <w:p>
      <w:pPr>
        <w:pStyle w:val="Normal"/>
        <w:rPr>
          <w:sz w:val="20"/>
        </w:rPr>
      </w:pPr>
      <w:r>
        <w:rPr>
          <w:sz w:val="20"/>
        </w:rPr>
      </w:r>
    </w:p>
    <w:p>
      <w:pPr>
        <w:pStyle w:val="Normal"/>
        <w:widowControl w:val="false"/>
        <w:ind w:end="-45"/>
        <w:rPr>
          <w:sz w:val="20"/>
          <w:lang w:eastAsia="en-US"/>
        </w:rPr>
      </w:pPr>
      <w:hyperlink r:id="rId14">
        <w:r>
          <w:rPr>
            <w:rStyle w:val="Hyperlink"/>
            <w:sz w:val="20"/>
          </w:rPr>
          <w:t>www.allenovery.com</w:t>
        </w:r>
      </w:hyperlink>
      <w:r>
        <w:rPr/>
        <w:tab/>
      </w:r>
    </w:p>
    <w:p>
      <w:pPr>
        <w:pStyle w:val="Normal"/>
        <w:tabs>
          <w:tab w:val="clear" w:pos="720"/>
          <w:tab w:val="left" w:pos="4077" w:leader="none"/>
          <w:tab w:val="left" w:pos="9180" w:leader="none"/>
        </w:tabs>
        <w:jc w:val="start"/>
        <w:rPr>
          <w:sz w:val="20"/>
          <w:lang w:eastAsia="en-US"/>
        </w:rPr>
      </w:pPr>
      <w:r>
        <w:rPr>
          <w:sz w:val="20"/>
          <w:lang w:eastAsia="en-US"/>
        </w:rPr>
      </w:r>
    </w:p>
    <w:p>
      <w:pPr>
        <w:pStyle w:val="Normal"/>
        <w:ind w:end="-567"/>
        <w:rPr>
          <w:sz w:val="20"/>
          <w:lang w:val="en-US"/>
        </w:rPr>
      </w:pPr>
      <w:r>
        <w:rPr>
          <w:sz w:val="20"/>
          <w:lang w:val="en-US"/>
        </w:rPr>
      </w:r>
    </w:p>
    <w:p>
      <w:pPr>
        <w:pStyle w:val="Normal"/>
        <w:ind w:end="-567"/>
        <w:rPr>
          <w:sz w:val="20"/>
          <w:lang w:val="en-US"/>
        </w:rPr>
      </w:pPr>
      <w:r>
        <w:rPr>
          <w:sz w:val="20"/>
          <w:lang w:val="en-US"/>
        </w:rPr>
      </w:r>
    </w:p>
    <w:p>
      <w:pPr>
        <w:pStyle w:val="Normal"/>
        <w:ind w:end="-567"/>
        <w:rPr>
          <w:sz w:val="20"/>
          <w:lang w:val="en-US"/>
        </w:rPr>
      </w:pPr>
      <w:r>
        <w:rPr>
          <w:sz w:val="20"/>
          <w:lang w:val="en-US"/>
        </w:rPr>
      </w:r>
    </w:p>
    <w:p>
      <w:pPr>
        <w:pStyle w:val="Normal"/>
        <w:ind w:end="-567"/>
        <w:rPr>
          <w:sz w:val="20"/>
          <w:lang w:val="en-US"/>
        </w:rPr>
      </w:pPr>
      <w:r>
        <w:rPr>
          <w:sz w:val="20"/>
          <w:lang w:val="en-US"/>
        </w:rPr>
      </w:r>
    </w:p>
    <w:p>
      <w:pPr>
        <w:pStyle w:val="Normal"/>
        <w:ind w:end="-567"/>
        <w:rPr>
          <w:sz w:val="20"/>
          <w:lang w:val="en-US"/>
        </w:rPr>
      </w:pPr>
      <w:r>
        <w:rPr>
          <w:sz w:val="20"/>
          <w:lang w:val="en-US"/>
        </w:rPr>
      </w:r>
    </w:p>
    <w:p>
      <w:pPr>
        <w:pStyle w:val="Normal"/>
        <w:ind w:end="-567"/>
        <w:rPr>
          <w:sz w:val="20"/>
          <w:lang w:val="en-US"/>
        </w:rPr>
      </w:pPr>
      <w:r>
        <w:rPr>
          <w:sz w:val="20"/>
          <w:lang w:val="en-US"/>
        </w:rPr>
      </w:r>
    </w:p>
    <w:p>
      <w:pPr>
        <w:pStyle w:val="Normal"/>
        <w:ind w:end="-567"/>
        <w:rPr>
          <w:sz w:val="20"/>
          <w:lang w:val="en-US"/>
        </w:rPr>
      </w:pPr>
      <w:r>
        <w:rPr>
          <w:sz w:val="20"/>
          <w:lang w:val="en-US"/>
        </w:rPr>
      </w:r>
    </w:p>
    <w:p>
      <w:pPr>
        <w:pStyle w:val="Normal"/>
        <w:ind w:end="-567"/>
        <w:rPr>
          <w:sz w:val="20"/>
          <w:lang w:val="en-US"/>
        </w:rPr>
      </w:pPr>
      <w:r>
        <w:rPr>
          <w:sz w:val="20"/>
          <w:lang w:val="en-US"/>
        </w:rPr>
      </w:r>
    </w:p>
    <w:p>
      <w:pPr>
        <w:pStyle w:val="Normal"/>
        <w:ind w:end="-567"/>
        <w:rPr>
          <w:sz w:val="20"/>
          <w:lang w:val="en-US"/>
        </w:rPr>
      </w:pPr>
      <w:r>
        <w:rPr>
          <w:sz w:val="20"/>
          <w:lang w:val="en-US"/>
        </w:rPr>
      </w:r>
    </w:p>
    <w:p>
      <w:pPr>
        <w:pStyle w:val="Normal"/>
        <w:ind w:end="-567"/>
        <w:rPr>
          <w:sz w:val="20"/>
          <w:lang w:val="en-US"/>
        </w:rPr>
      </w:pPr>
      <w:r>
        <w:rPr>
          <w:sz w:val="20"/>
          <w:lang w:val="en-US"/>
        </w:rPr>
      </w:r>
    </w:p>
    <w:p>
      <w:pPr>
        <w:pStyle w:val="Normal"/>
        <w:ind w:end="-567"/>
        <w:rPr>
          <w:sz w:val="20"/>
          <w:lang w:val="en-US"/>
        </w:rPr>
      </w:pPr>
      <w:r>
        <w:rPr>
          <w:sz w:val="20"/>
          <w:lang w:val="en-US"/>
        </w:rPr>
      </w:r>
    </w:p>
    <w:p>
      <w:pPr>
        <w:pStyle w:val="Normal"/>
        <w:ind w:end="-567"/>
        <w:rPr>
          <w:sz w:val="20"/>
          <w:lang w:val="en-US"/>
        </w:rPr>
      </w:pPr>
      <w:r>
        <w:rPr>
          <w:sz w:val="20"/>
          <w:lang w:val="en-US"/>
        </w:rPr>
      </w:r>
    </w:p>
    <w:p>
      <w:pPr>
        <w:pStyle w:val="Normal"/>
        <w:ind w:end="-567"/>
        <w:rPr>
          <w:sz w:val="20"/>
          <w:lang w:val="en-US"/>
        </w:rPr>
      </w:pPr>
      <w:r>
        <w:rPr>
          <w:sz w:val="20"/>
          <w:lang w:val="en-US"/>
        </w:rPr>
      </w:r>
    </w:p>
    <w:p>
      <w:pPr>
        <w:pStyle w:val="Normal"/>
        <w:ind w:end="-567"/>
        <w:rPr>
          <w:sz w:val="20"/>
          <w:lang w:val="en-US"/>
        </w:rPr>
      </w:pPr>
      <w:r>
        <w:rPr>
          <w:sz w:val="20"/>
          <w:lang w:val="en-US"/>
        </w:rPr>
      </w:r>
    </w:p>
    <w:p>
      <w:pPr>
        <w:pStyle w:val="Normal"/>
        <w:ind w:end="-567"/>
        <w:rPr>
          <w:sz w:val="20"/>
          <w:lang w:val="en-US"/>
        </w:rPr>
      </w:pPr>
      <w:r>
        <w:rPr>
          <w:sz w:val="20"/>
          <w:lang w:val="en-US"/>
        </w:rPr>
      </w:r>
    </w:p>
    <w:p>
      <w:pPr>
        <w:pStyle w:val="Normal"/>
        <w:ind w:end="-567"/>
        <w:rPr>
          <w:sz w:val="20"/>
          <w:lang w:val="en-US"/>
        </w:rPr>
      </w:pPr>
      <w:r>
        <w:rPr>
          <w:sz w:val="20"/>
          <w:lang w:val="en-US"/>
        </w:rPr>
      </w:r>
    </w:p>
    <w:p>
      <w:pPr>
        <w:pStyle w:val="Normal"/>
        <w:ind w:end="-567"/>
        <w:rPr>
          <w:sz w:val="20"/>
          <w:lang w:val="en-US"/>
        </w:rPr>
      </w:pPr>
      <w:r>
        <w:rPr>
          <w:sz w:val="20"/>
          <w:lang w:val="en-US"/>
        </w:rPr>
      </w:r>
    </w:p>
    <w:p>
      <w:pPr>
        <w:pStyle w:val="Normal"/>
        <w:ind w:end="-567"/>
        <w:rPr>
          <w:sz w:val="20"/>
          <w:lang w:val="en-US"/>
        </w:rPr>
      </w:pPr>
      <w:r>
        <w:rPr>
          <w:sz w:val="20"/>
          <w:lang w:val="en-US"/>
        </w:rPr>
      </w:r>
    </w:p>
    <w:p>
      <w:pPr>
        <w:pStyle w:val="Normal"/>
        <w:ind w:end="-567"/>
        <w:rPr>
          <w:sz w:val="20"/>
          <w:lang w:val="en-US"/>
        </w:rPr>
      </w:pPr>
      <w:r>
        <w:rPr>
          <w:sz w:val="20"/>
          <w:lang w:val="en-US"/>
        </w:rPr>
      </w:r>
    </w:p>
    <w:p>
      <w:pPr>
        <w:pStyle w:val="Normal"/>
        <w:ind w:end="-567"/>
        <w:rPr>
          <w:sz w:val="20"/>
          <w:lang w:val="en-US"/>
        </w:rPr>
      </w:pPr>
      <w:r>
        <w:rPr>
          <w:sz w:val="20"/>
          <w:lang w:val="en-US"/>
        </w:rPr>
      </w:r>
    </w:p>
    <w:p>
      <w:pPr>
        <w:pStyle w:val="Normal"/>
        <w:ind w:end="-567"/>
        <w:rPr>
          <w:sz w:val="20"/>
          <w:lang w:val="en-US"/>
        </w:rPr>
      </w:pPr>
      <w:r>
        <w:rPr>
          <w:sz w:val="20"/>
          <w:lang w:val="en-US"/>
        </w:rPr>
      </w:r>
    </w:p>
    <w:p>
      <w:pPr>
        <w:pStyle w:val="Normal"/>
        <w:ind w:end="-567"/>
        <w:rPr>
          <w:sz w:val="20"/>
          <w:lang w:val="en-US"/>
        </w:rPr>
      </w:pPr>
      <w:r>
        <w:rPr>
          <w:sz w:val="20"/>
          <w:lang w:val="en-US"/>
        </w:rPr>
      </w:r>
    </w:p>
    <w:p>
      <w:pPr>
        <w:pStyle w:val="Normal"/>
        <w:ind w:end="-567"/>
        <w:rPr>
          <w:sz w:val="20"/>
          <w:lang w:val="en-US"/>
        </w:rPr>
      </w:pPr>
      <w:r>
        <w:rPr>
          <w:sz w:val="20"/>
          <w:lang w:val="en-US"/>
        </w:rPr>
      </w:r>
    </w:p>
    <w:p>
      <w:pPr>
        <w:pStyle w:val="Normal"/>
        <w:ind w:end="-567"/>
        <w:rPr>
          <w:sz w:val="20"/>
          <w:lang w:val="en-US"/>
        </w:rPr>
      </w:pPr>
      <w:r>
        <w:rPr>
          <w:sz w:val="20"/>
          <w:lang w:val="en-US"/>
        </w:rPr>
      </w:r>
    </w:p>
    <w:p>
      <w:pPr>
        <w:pStyle w:val="Normal"/>
        <w:ind w:end="-567"/>
        <w:rPr>
          <w:sz w:val="20"/>
          <w:lang w:val="en-US"/>
        </w:rPr>
      </w:pPr>
      <w:r>
        <w:rPr>
          <w:sz w:val="20"/>
          <w:lang w:val="en-US"/>
        </w:rPr>
      </w:r>
    </w:p>
    <w:p>
      <w:pPr>
        <w:pStyle w:val="Normal"/>
        <w:ind w:end="-567"/>
        <w:rPr>
          <w:sz w:val="16"/>
          <w:lang w:val="en-US"/>
        </w:rPr>
      </w:pPr>
      <w:r>
        <w:rPr>
          <w:sz w:val="16"/>
          <w:lang w:val="en-US"/>
        </w:rPr>
      </w:r>
    </w:p>
    <w:p>
      <w:pPr>
        <w:pStyle w:val="Normal"/>
        <w:ind w:end="-567"/>
        <w:rPr>
          <w:sz w:val="16"/>
        </w:rPr>
      </w:pPr>
      <w:r>
        <w:rPr>
          <w:sz w:val="16"/>
        </w:rPr>
      </w:r>
    </w:p>
    <w:p>
      <w:pPr>
        <w:pStyle w:val="Normal"/>
        <w:ind w:end="-567"/>
        <w:rPr>
          <w:sz w:val="16"/>
        </w:rPr>
      </w:pPr>
      <w:r>
        <w:rPr>
          <w:sz w:val="16"/>
        </w:rPr>
      </w:r>
    </w:p>
    <w:p>
      <w:pPr>
        <w:pStyle w:val="Normal"/>
        <w:ind w:end="-567"/>
        <w:rPr>
          <w:sz w:val="16"/>
        </w:rPr>
      </w:pPr>
      <w:r>
        <w:rPr>
          <w:sz w:val="16"/>
        </w:rPr>
      </w:r>
    </w:p>
    <w:p>
      <w:pPr>
        <w:pStyle w:val="Normal"/>
        <w:ind w:end="-567"/>
        <w:rPr>
          <w:sz w:val="16"/>
        </w:rPr>
      </w:pPr>
      <w:r>
        <w:rPr>
          <w:sz w:val="16"/>
        </w:rPr>
      </w:r>
    </w:p>
    <w:p>
      <w:pPr>
        <w:pStyle w:val="Normal"/>
        <w:ind w:end="-567"/>
        <w:rPr>
          <w:sz w:val="16"/>
        </w:rPr>
      </w:pPr>
      <w:r>
        <w:rPr>
          <w:sz w:val="16"/>
        </w:rPr>
      </w:r>
    </w:p>
    <w:p>
      <w:pPr>
        <w:pStyle w:val="Normal"/>
        <w:ind w:end="-567"/>
        <w:rPr>
          <w:sz w:val="16"/>
        </w:rPr>
      </w:pPr>
      <w:r>
        <w:rPr>
          <w:sz w:val="16"/>
        </w:rPr>
      </w:r>
    </w:p>
    <w:p>
      <w:pPr>
        <w:pStyle w:val="Normal"/>
        <w:ind w:end="-567"/>
        <w:rPr>
          <w:sz w:val="16"/>
        </w:rPr>
      </w:pPr>
      <w:r>
        <w:rPr>
          <w:sz w:val="16"/>
        </w:rPr>
      </w:r>
    </w:p>
    <w:p>
      <w:pPr>
        <w:pStyle w:val="Normal"/>
        <w:ind w:end="-567"/>
        <w:rPr>
          <w:sz w:val="16"/>
        </w:rPr>
      </w:pPr>
      <w:r>
        <w:rPr>
          <w:sz w:val="16"/>
        </w:rPr>
      </w:r>
    </w:p>
    <w:p>
      <w:pPr>
        <w:pStyle w:val="Normal"/>
        <w:ind w:end="-567"/>
        <w:rPr>
          <w:sz w:val="16"/>
        </w:rPr>
      </w:pPr>
      <w:r>
        <w:rPr>
          <w:sz w:val="16"/>
        </w:rPr>
      </w:r>
    </w:p>
    <w:p>
      <w:pPr>
        <w:pStyle w:val="Normal"/>
        <w:ind w:end="-567"/>
        <w:rPr>
          <w:sz w:val="16"/>
        </w:rPr>
      </w:pPr>
      <w:r>
        <w:rPr>
          <w:sz w:val="16"/>
        </w:rPr>
      </w:r>
    </w:p>
    <w:p>
      <w:pPr>
        <w:pStyle w:val="Normal"/>
        <w:ind w:end="-567"/>
        <w:rPr>
          <w:sz w:val="16"/>
        </w:rPr>
      </w:pPr>
      <w:r>
        <w:rPr>
          <w:sz w:val="16"/>
        </w:rPr>
      </w:r>
    </w:p>
    <w:p>
      <w:pPr>
        <w:pStyle w:val="Normal"/>
        <w:ind w:end="-567"/>
        <w:rPr>
          <w:sz w:val="16"/>
        </w:rPr>
      </w:pPr>
      <w:r>
        <w:rPr>
          <w:sz w:val="16"/>
        </w:rPr>
      </w:r>
    </w:p>
    <w:p>
      <w:pPr>
        <w:pStyle w:val="Normal"/>
        <w:ind w:end="-567"/>
        <w:rPr>
          <w:sz w:val="16"/>
        </w:rPr>
      </w:pPr>
      <w:r>
        <w:rPr>
          <w:sz w:val="16"/>
        </w:rPr>
      </w:r>
    </w:p>
    <w:p>
      <w:pPr>
        <w:pStyle w:val="Normal"/>
        <w:ind w:end="-567"/>
        <w:rPr>
          <w:sz w:val="16"/>
        </w:rPr>
      </w:pPr>
      <w:r>
        <w:rPr>
          <w:sz w:val="16"/>
        </w:rPr>
      </w:r>
    </w:p>
    <w:p>
      <w:pPr>
        <w:pStyle w:val="Normal"/>
        <w:ind w:end="-567"/>
        <w:rPr>
          <w:sz w:val="16"/>
        </w:rPr>
      </w:pPr>
      <w:r>
        <w:rPr>
          <w:sz w:val="16"/>
        </w:rPr>
      </w:r>
    </w:p>
    <w:p>
      <w:pPr>
        <w:pStyle w:val="Normal"/>
        <w:ind w:end="-567"/>
        <w:rPr>
          <w:sz w:val="16"/>
        </w:rPr>
      </w:pPr>
      <w:r>
        <w:rPr>
          <w:sz w:val="16"/>
        </w:rPr>
      </w:r>
    </w:p>
    <w:p>
      <w:pPr>
        <w:pStyle w:val="Normal"/>
        <w:ind w:end="-567"/>
        <w:rPr>
          <w:sz w:val="16"/>
        </w:rPr>
      </w:pPr>
      <w:r>
        <w:rPr>
          <w:sz w:val="16"/>
        </w:rPr>
      </w:r>
    </w:p>
    <w:p>
      <w:pPr>
        <w:pStyle w:val="Normal"/>
        <w:ind w:end="-567"/>
        <w:rPr>
          <w:sz w:val="16"/>
        </w:rPr>
      </w:pPr>
      <w:r>
        <w:rPr>
          <w:sz w:val="16"/>
        </w:rPr>
      </w:r>
    </w:p>
    <w:p>
      <w:pPr>
        <w:pStyle w:val="Normal"/>
        <w:ind w:end="-567"/>
        <w:rPr>
          <w:sz w:val="16"/>
        </w:rPr>
      </w:pPr>
      <w:r>
        <w:rPr>
          <w:sz w:val="16"/>
        </w:rPr>
      </w:r>
    </w:p>
    <w:p>
      <w:pPr>
        <w:pStyle w:val="Normal"/>
        <w:ind w:end="-567"/>
        <w:rPr>
          <w:sz w:val="16"/>
        </w:rPr>
      </w:pPr>
      <w:r>
        <w:rPr>
          <w:sz w:val="16"/>
        </w:rPr>
      </w:r>
    </w:p>
    <w:p>
      <w:pPr>
        <w:pStyle w:val="Normal"/>
        <w:ind w:end="-567"/>
        <w:rPr>
          <w:sz w:val="16"/>
        </w:rPr>
      </w:pPr>
      <w:r>
        <w:rPr>
          <w:sz w:val="16"/>
        </w:rPr>
      </w:r>
    </w:p>
    <w:p>
      <w:pPr>
        <w:pStyle w:val="Normal"/>
        <w:ind w:end="-567"/>
        <w:rPr/>
      </w:pPr>
      <w:r>
        <w:rPr>
          <w:sz w:val="16"/>
        </w:rPr>
        <w:t xml:space="preserve">© </w:t>
      </w:r>
      <w:r>
        <w:rPr>
          <w:rFonts w:cs="CopprplGoth BT" w:ascii="CopprplGoth BT" w:hAnsi="CopprplGoth BT"/>
          <w:sz w:val="16"/>
        </w:rPr>
        <w:t xml:space="preserve">ALLEN &amp; OVERY </w:t>
      </w:r>
      <w:r>
        <w:rPr>
          <w:sz w:val="16"/>
        </w:rPr>
        <w:t xml:space="preserve">July 2000.  This </w:t>
      </w:r>
      <w:r>
        <w:rPr>
          <w:i/>
          <w:sz w:val="16"/>
        </w:rPr>
        <w:t xml:space="preserve">Bulletin </w:t>
      </w:r>
      <w:r>
        <w:rPr>
          <w:sz w:val="16"/>
        </w:rPr>
        <w:t>is for general guidance only and does not contain definitive advice.</w:t>
      </w:r>
    </w:p>
    <w:sectPr>
      <w:headerReference w:type="default" r:id="rId15"/>
      <w:headerReference w:type="first" r:id="rId16"/>
      <w:footerReference w:type="default" r:id="rId17"/>
      <w:footerReference w:type="first" r:id="rId18"/>
      <w:type w:val="nextPage"/>
      <w:pgSz w:w="11906" w:h="16838"/>
      <w:pgMar w:left="1134" w:right="1701" w:gutter="0" w:header="1134" w:top="1956" w:footer="386"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Monotype Bembo">
    <w:altName w:val="Times New Roman"/>
    <w:charset w:val="00" w:characterSet="windows-1252"/>
    <w:family w:val="roman"/>
    <w:pitch w:val="default"/>
  </w:font>
  <w:font w:name="Bembo">
    <w:charset w:val="00" w:characterSet="windows-1252"/>
    <w:family w:val="roman"/>
    <w:pitch w:val="variable"/>
  </w:font>
  <w:font w:name="CopprplGoth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931" w:leader="none"/>
      </w:tabs>
      <w:jc w:val="end"/>
      <w:rPr>
        <w:sz w:val="16"/>
      </w:rPr>
    </w:pPr>
    <w:r>
      <w:rPr>
        <w:sz w:val="16"/>
      </w:rPr>
      <w:fldChar w:fldCharType="begin"/>
    </w:r>
    <w:r>
      <w:rPr>
        <w:sz w:val="16"/>
      </w:rPr>
      <w:instrText xml:space="preserve"> FILENAME \p </w:instrText>
    </w:r>
    <w:r>
      <w:rPr>
        <w:sz w:val="16"/>
      </w:rPr>
      <w:fldChar w:fldCharType="separate"/>
    </w:r>
    <w:r>
      <w:rPr>
        <w:sz w:val="16"/>
      </w:rPr>
      <w:t>/mnt/main-storage/datasets/enron-docs/doc/_d101_.DOC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931" w:leader="none"/>
      </w:tabs>
      <w:jc w:val="end"/>
      <w:rPr>
        <w:sz w:val="16"/>
      </w:rPr>
    </w:pPr>
    <w:r>
      <w:rPr>
        <w:sz w:val="16"/>
      </w:rPr>
      <w:fldChar w:fldCharType="begin"/>
    </w:r>
    <w:r>
      <w:rPr>
        <w:sz w:val="16"/>
      </w:rPr>
      <w:instrText xml:space="preserve"> FILENAME \p </w:instrText>
    </w:r>
    <w:r>
      <w:rPr>
        <w:sz w:val="16"/>
      </w:rPr>
      <w:fldChar w:fldCharType="separate"/>
    </w:r>
    <w:r>
      <w:rPr>
        <w:sz w:val="16"/>
      </w:rPr>
      <w:t>/mnt/main-storage/datasets/enron-docs/doc/_d101_.DOC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9" w:type="dxa"/>
      <w:jc w:val="start"/>
      <w:tblInd w:w="108" w:type="dxa"/>
      <w:tblLayout w:type="fixed"/>
      <w:tblCellMar>
        <w:top w:w="0" w:type="dxa"/>
        <w:start w:w="108" w:type="dxa"/>
        <w:bottom w:w="0" w:type="dxa"/>
        <w:end w:w="108" w:type="dxa"/>
      </w:tblCellMar>
    </w:tblPr>
    <w:tblGrid>
      <w:gridCol w:w="4568"/>
      <w:gridCol w:w="5071"/>
    </w:tblGrid>
    <w:tr>
      <w:trPr/>
      <w:tc>
        <w:tcPr>
          <w:tcW w:w="4568" w:type="dxa"/>
          <w:tcBorders>
            <w:top w:val="single" w:sz="6" w:space="0" w:color="000000"/>
          </w:tcBorders>
        </w:tcPr>
        <w:p>
          <w:pPr>
            <w:pStyle w:val="Footer"/>
            <w:snapToGrid w:val="false"/>
            <w:rPr>
              <w:rFonts w:ascii="CopprplGoth BT" w:hAnsi="CopprplGoth BT" w:cs="CopprplGoth BT"/>
            </w:rPr>
          </w:pPr>
          <w:r>
            <w:rPr>
              <w:rFonts w:cs="CopprplGoth BT" w:ascii="CopprplGoth BT" w:hAnsi="CopprplGoth BT"/>
            </w:rPr>
          </w:r>
        </w:p>
        <w:p>
          <w:pPr>
            <w:pStyle w:val="Footer"/>
            <w:ind w:start="-108" w:end="0"/>
            <w:rPr/>
          </w:pPr>
          <w:r>
            <w:rPr>
              <w:rStyle w:val="PageNumber"/>
              <w:rFonts w:cs="CopprplGoth BT" w:ascii="CopprplGoth BT" w:hAnsi="CopprplGoth BT"/>
              <w:sz w:val="20"/>
            </w:rPr>
            <w:fldChar w:fldCharType="begin"/>
          </w:r>
          <w:r>
            <w:rPr>
              <w:rStyle w:val="PageNumber"/>
              <w:sz w:val="20"/>
              <w:rFonts w:cs="CopprplGoth BT" w:ascii="CopprplGoth BT" w:hAnsi="CopprplGoth BT"/>
            </w:rPr>
            <w:instrText xml:space="preserve"> PAGE </w:instrText>
          </w:r>
          <w:r>
            <w:rPr>
              <w:rStyle w:val="PageNumber"/>
              <w:sz w:val="20"/>
              <w:rFonts w:cs="CopprplGoth BT" w:ascii="CopprplGoth BT" w:hAnsi="CopprplGoth BT"/>
            </w:rPr>
            <w:fldChar w:fldCharType="separate"/>
          </w:r>
          <w:r>
            <w:rPr>
              <w:rStyle w:val="PageNumber"/>
              <w:sz w:val="20"/>
              <w:rFonts w:cs="CopprplGoth BT" w:ascii="CopprplGoth BT" w:hAnsi="CopprplGoth BT"/>
            </w:rPr>
            <w:t>3</w:t>
          </w:r>
          <w:r>
            <w:rPr>
              <w:rStyle w:val="PageNumber"/>
              <w:sz w:val="20"/>
              <w:rFonts w:cs="CopprplGoth BT" w:ascii="CopprplGoth BT" w:hAnsi="CopprplGoth BT"/>
            </w:rPr>
            <w:fldChar w:fldCharType="end"/>
          </w:r>
          <w:r>
            <w:rPr>
              <w:rStyle w:val="PageNumber"/>
              <w:rFonts w:eastAsia="CopprplGoth BT" w:cs="CopprplGoth BT" w:ascii="CopprplGoth BT" w:hAnsi="CopprplGoth BT"/>
              <w:sz w:val="20"/>
            </w:rPr>
            <w:t xml:space="preserve">      </w:t>
          </w:r>
          <w:r>
            <w:rPr>
              <w:rFonts w:cs="CopprplGoth BT" w:ascii="CopprplGoth BT" w:hAnsi="CopprplGoth BT"/>
              <w:sz w:val="20"/>
            </w:rPr>
            <w:t>ALLEN &amp; OVERY</w:t>
          </w:r>
        </w:p>
      </w:tc>
      <w:tc>
        <w:tcPr>
          <w:tcW w:w="5071" w:type="dxa"/>
          <w:tcBorders>
            <w:top w:val="single" w:sz="6" w:space="0" w:color="000000"/>
          </w:tcBorders>
        </w:tcPr>
        <w:p>
          <w:pPr>
            <w:pStyle w:val="Footer"/>
            <w:snapToGrid w:val="false"/>
            <w:jc w:val="end"/>
            <w:rPr>
              <w:rFonts w:ascii="CopprplGoth BT" w:hAnsi="CopprplGoth BT" w:cs="CopprplGoth BT"/>
              <w:sz w:val="20"/>
            </w:rPr>
          </w:pPr>
          <w:r>
            <w:rPr>
              <w:rFonts w:cs="CopprplGoth BT" w:ascii="CopprplGoth BT" w:hAnsi="CopprplGoth BT"/>
              <w:sz w:val="20"/>
            </w:rPr>
          </w:r>
        </w:p>
        <w:p>
          <w:pPr>
            <w:pStyle w:val="Footer"/>
            <w:jc w:val="end"/>
            <w:rPr>
              <w:rFonts w:ascii="CopprplGoth BT" w:hAnsi="CopprplGoth BT" w:cs="CopprplGoth BT"/>
              <w:sz w:val="20"/>
            </w:rPr>
          </w:pPr>
          <w:r>
            <w:rPr>
              <w:rFonts w:cs="CopprplGoth BT" w:ascii="CopprplGoth BT" w:hAnsi="CopprplGoth BT"/>
              <w:sz w:val="20"/>
            </w:rPr>
          </w:r>
        </w:p>
      </w:tc>
    </w:tr>
  </w:tbl>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931" w:leader="none"/>
      </w:tabs>
      <w:jc w:val="end"/>
      <w:rPr>
        <w:sz w:val="16"/>
      </w:rPr>
    </w:pPr>
    <w:r>
      <w:rPr>
        <w:sz w:val="16"/>
      </w:rPr>
      <w:fldChar w:fldCharType="begin"/>
    </w:r>
    <w:r>
      <w:rPr>
        <w:sz w:val="16"/>
      </w:rPr>
      <w:instrText xml:space="preserve"> FILENAME \p </w:instrText>
    </w:r>
    <w:r>
      <w:rPr>
        <w:sz w:val="16"/>
      </w:rPr>
      <w:fldChar w:fldCharType="separate"/>
    </w:r>
    <w:r>
      <w:rPr>
        <w:sz w:val="16"/>
      </w:rPr>
      <w:t>/mnt/main-storage/datasets/enron-docs/doc/_d101_.DOC</w:t>
    </w:r>
    <w:r>
      <w:rPr>
        <w:sz w:val="16"/>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9" w:type="dxa"/>
      <w:jc w:val="start"/>
      <w:tblInd w:w="108" w:type="dxa"/>
      <w:tblLayout w:type="fixed"/>
      <w:tblCellMar>
        <w:top w:w="0" w:type="dxa"/>
        <w:start w:w="108" w:type="dxa"/>
        <w:bottom w:w="0" w:type="dxa"/>
        <w:end w:w="108" w:type="dxa"/>
      </w:tblCellMar>
    </w:tblPr>
    <w:tblGrid>
      <w:gridCol w:w="4568"/>
      <w:gridCol w:w="5071"/>
    </w:tblGrid>
    <w:tr>
      <w:trPr/>
      <w:tc>
        <w:tcPr>
          <w:tcW w:w="4568" w:type="dxa"/>
          <w:tcBorders>
            <w:top w:val="single" w:sz="6" w:space="0" w:color="000000"/>
          </w:tcBorders>
        </w:tcPr>
        <w:p>
          <w:pPr>
            <w:pStyle w:val="Footer"/>
            <w:snapToGrid w:val="false"/>
            <w:rPr>
              <w:rFonts w:ascii="CopprplGoth BT" w:hAnsi="CopprplGoth BT" w:cs="CopprplGoth BT"/>
            </w:rPr>
          </w:pPr>
          <w:r>
            <w:rPr>
              <w:rFonts w:cs="CopprplGoth BT" w:ascii="CopprplGoth BT" w:hAnsi="CopprplGoth BT"/>
            </w:rPr>
          </w:r>
        </w:p>
        <w:p>
          <w:pPr>
            <w:pStyle w:val="Footer"/>
            <w:ind w:start="-108" w:end="0"/>
            <w:rPr>
              <w:rFonts w:ascii="CopprplGoth BT" w:hAnsi="CopprplGoth BT" w:cs="CopprplGoth BT"/>
            </w:rPr>
          </w:pPr>
          <w:r>
            <w:rPr>
              <w:rFonts w:cs="CopprplGoth BT" w:ascii="CopprplGoth BT" w:hAnsi="CopprplGoth BT"/>
            </w:rPr>
          </w:r>
        </w:p>
      </w:tc>
      <w:tc>
        <w:tcPr>
          <w:tcW w:w="5071" w:type="dxa"/>
          <w:tcBorders>
            <w:top w:val="single" w:sz="6" w:space="0" w:color="000000"/>
          </w:tcBorders>
        </w:tcPr>
        <w:p>
          <w:pPr>
            <w:pStyle w:val="Footer"/>
            <w:snapToGrid w:val="false"/>
            <w:jc w:val="end"/>
            <w:rPr>
              <w:rFonts w:ascii="CopprplGoth BT" w:hAnsi="CopprplGoth BT" w:cs="CopprplGoth BT"/>
              <w:sz w:val="20"/>
            </w:rPr>
          </w:pPr>
          <w:r>
            <w:rPr>
              <w:rFonts w:cs="CopprplGoth BT" w:ascii="CopprplGoth BT" w:hAnsi="CopprplGoth BT"/>
              <w:sz w:val="20"/>
            </w:rPr>
          </w:r>
        </w:p>
        <w:p>
          <w:pPr>
            <w:pStyle w:val="Footer"/>
            <w:ind w:end="-108"/>
            <w:jc w:val="end"/>
            <w:rPr/>
          </w:pPr>
          <w:r>
            <w:rPr>
              <w:rFonts w:cs="CopprplGoth BT" w:ascii="CopprplGoth BT" w:hAnsi="CopprplGoth BT"/>
              <w:sz w:val="20"/>
            </w:rPr>
            <w:t>ALLEN &amp; OVERY</w:t>
          </w:r>
          <w:r>
            <w:rPr>
              <w:rStyle w:val="PageNumber"/>
              <w:rFonts w:cs="CopprplGoth BT" w:ascii="CopprplGoth BT" w:hAnsi="CopprplGoth BT"/>
              <w:sz w:val="20"/>
            </w:rPr>
            <w:t xml:space="preserve">      </w:t>
          </w:r>
          <w:r>
            <w:rPr>
              <w:rStyle w:val="PageNumber"/>
              <w:rFonts w:cs="CopprplGoth BT" w:ascii="CopprplGoth BT" w:hAnsi="CopprplGoth BT"/>
              <w:sz w:val="20"/>
            </w:rPr>
            <w:fldChar w:fldCharType="begin"/>
          </w:r>
          <w:r>
            <w:rPr>
              <w:rStyle w:val="PageNumber"/>
              <w:sz w:val="20"/>
              <w:rFonts w:cs="CopprplGoth BT" w:ascii="CopprplGoth BT" w:hAnsi="CopprplGoth BT"/>
            </w:rPr>
            <w:instrText xml:space="preserve"> PAGE </w:instrText>
          </w:r>
          <w:r>
            <w:rPr>
              <w:rStyle w:val="PageNumber"/>
              <w:sz w:val="20"/>
              <w:rFonts w:cs="CopprplGoth BT" w:ascii="CopprplGoth BT" w:hAnsi="CopprplGoth BT"/>
            </w:rPr>
            <w:fldChar w:fldCharType="separate"/>
          </w:r>
          <w:r>
            <w:rPr>
              <w:rStyle w:val="PageNumber"/>
              <w:sz w:val="20"/>
              <w:rFonts w:cs="CopprplGoth BT" w:ascii="CopprplGoth BT" w:hAnsi="CopprplGoth BT"/>
            </w:rPr>
            <w:t>4</w:t>
          </w:r>
          <w:r>
            <w:rPr>
              <w:rStyle w:val="PageNumber"/>
              <w:sz w:val="20"/>
              <w:rFonts w:cs="CopprplGoth BT" w:ascii="CopprplGoth BT" w:hAnsi="CopprplGoth BT"/>
            </w:rPr>
            <w:fldChar w:fldCharType="end"/>
          </w:r>
        </w:p>
      </w:tc>
    </w:tr>
  </w:tbl>
  <w:p>
    <w:pPr>
      <w:pStyle w:val="Footer"/>
      <w:rPr/>
    </w:pPr>
    <w:r>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931" w:leader="none"/>
      </w:tabs>
      <w:jc w:val="end"/>
      <w:rPr>
        <w:sz w:val="16"/>
      </w:rPr>
    </w:pPr>
    <w:r>
      <w:rPr>
        <w:sz w:val="16"/>
      </w:rPr>
      <w:fldChar w:fldCharType="begin"/>
    </w:r>
    <w:r>
      <w:rPr>
        <w:sz w:val="16"/>
      </w:rPr>
      <w:instrText xml:space="preserve"> FILENAME \p </w:instrText>
    </w:r>
    <w:r>
      <w:rPr>
        <w:sz w:val="16"/>
      </w:rPr>
      <w:fldChar w:fldCharType="separate"/>
    </w:r>
    <w:r>
      <w:rPr>
        <w:sz w:val="16"/>
      </w:rPr>
      <w:t>/mnt/main-storage/datasets/enron-docs/doc/_d101_.DOC</w:t>
    </w:r>
    <w:r>
      <w:rPr>
        <w:sz w:val="16"/>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9" w:type="dxa"/>
      <w:jc w:val="start"/>
      <w:tblInd w:w="108" w:type="dxa"/>
      <w:tblLayout w:type="fixed"/>
      <w:tblCellMar>
        <w:top w:w="0" w:type="dxa"/>
        <w:start w:w="108" w:type="dxa"/>
        <w:bottom w:w="0" w:type="dxa"/>
        <w:end w:w="108" w:type="dxa"/>
      </w:tblCellMar>
    </w:tblPr>
    <w:tblGrid>
      <w:gridCol w:w="4568"/>
      <w:gridCol w:w="5071"/>
    </w:tblGrid>
    <w:tr>
      <w:trPr/>
      <w:tc>
        <w:tcPr>
          <w:tcW w:w="4568" w:type="dxa"/>
          <w:tcBorders>
            <w:top w:val="single" w:sz="6" w:space="0" w:color="000000"/>
          </w:tcBorders>
        </w:tcPr>
        <w:p>
          <w:pPr>
            <w:pStyle w:val="Footer"/>
            <w:snapToGrid w:val="false"/>
            <w:rPr>
              <w:rFonts w:ascii="CopprplGoth BT" w:hAnsi="CopprplGoth BT" w:cs="CopprplGoth BT"/>
            </w:rPr>
          </w:pPr>
          <w:r>
            <w:rPr>
              <w:rFonts w:cs="CopprplGoth BT" w:ascii="CopprplGoth BT" w:hAnsi="CopprplGoth BT"/>
            </w:rPr>
          </w:r>
        </w:p>
        <w:p>
          <w:pPr>
            <w:pStyle w:val="Footer"/>
            <w:ind w:start="-108" w:end="0"/>
            <w:rPr/>
          </w:pPr>
          <w:r>
            <w:rPr>
              <w:rStyle w:val="PageNumber"/>
              <w:rFonts w:cs="CopprplGoth BT" w:ascii="CopprplGoth BT" w:hAnsi="CopprplGoth BT"/>
              <w:sz w:val="20"/>
            </w:rPr>
            <w:fldChar w:fldCharType="begin"/>
          </w:r>
          <w:r>
            <w:rPr>
              <w:rStyle w:val="PageNumber"/>
              <w:sz w:val="20"/>
              <w:rFonts w:cs="CopprplGoth BT" w:ascii="CopprplGoth BT" w:hAnsi="CopprplGoth BT"/>
            </w:rPr>
            <w:instrText xml:space="preserve"> PAGE </w:instrText>
          </w:r>
          <w:r>
            <w:rPr>
              <w:rStyle w:val="PageNumber"/>
              <w:sz w:val="20"/>
              <w:rFonts w:cs="CopprplGoth BT" w:ascii="CopprplGoth BT" w:hAnsi="CopprplGoth BT"/>
            </w:rPr>
            <w:fldChar w:fldCharType="separate"/>
          </w:r>
          <w:r>
            <w:rPr>
              <w:rStyle w:val="PageNumber"/>
              <w:sz w:val="20"/>
              <w:rFonts w:cs="CopprplGoth BT" w:ascii="CopprplGoth BT" w:hAnsi="CopprplGoth BT"/>
            </w:rPr>
            <w:t>5</w:t>
          </w:r>
          <w:r>
            <w:rPr>
              <w:rStyle w:val="PageNumber"/>
              <w:sz w:val="20"/>
              <w:rFonts w:cs="CopprplGoth BT" w:ascii="CopprplGoth BT" w:hAnsi="CopprplGoth BT"/>
            </w:rPr>
            <w:fldChar w:fldCharType="end"/>
          </w:r>
          <w:r>
            <w:rPr>
              <w:rStyle w:val="PageNumber"/>
              <w:rFonts w:eastAsia="CopprplGoth BT" w:cs="CopprplGoth BT" w:ascii="CopprplGoth BT" w:hAnsi="CopprplGoth BT"/>
              <w:sz w:val="20"/>
            </w:rPr>
            <w:t xml:space="preserve">      </w:t>
          </w:r>
          <w:r>
            <w:rPr>
              <w:rFonts w:cs="CopprplGoth BT" w:ascii="CopprplGoth BT" w:hAnsi="CopprplGoth BT"/>
              <w:sz w:val="20"/>
            </w:rPr>
            <w:t>ALLEN &amp; OVERY</w:t>
          </w:r>
        </w:p>
      </w:tc>
      <w:tc>
        <w:tcPr>
          <w:tcW w:w="5071" w:type="dxa"/>
          <w:tcBorders>
            <w:top w:val="single" w:sz="6" w:space="0" w:color="000000"/>
          </w:tcBorders>
        </w:tcPr>
        <w:p>
          <w:pPr>
            <w:pStyle w:val="Footer"/>
            <w:snapToGrid w:val="false"/>
            <w:jc w:val="end"/>
            <w:rPr>
              <w:rFonts w:ascii="CopprplGoth BT" w:hAnsi="CopprplGoth BT" w:cs="CopprplGoth BT"/>
              <w:sz w:val="20"/>
            </w:rPr>
          </w:pPr>
          <w:r>
            <w:rPr>
              <w:rFonts w:cs="CopprplGoth BT" w:ascii="CopprplGoth BT" w:hAnsi="CopprplGoth BT"/>
              <w:sz w:val="20"/>
            </w:rPr>
          </w:r>
        </w:p>
        <w:p>
          <w:pPr>
            <w:pStyle w:val="Footer"/>
            <w:jc w:val="end"/>
            <w:rPr>
              <w:rFonts w:ascii="CopprplGoth BT" w:hAnsi="CopprplGoth BT" w:cs="CopprplGoth BT"/>
              <w:sz w:val="20"/>
            </w:rPr>
          </w:pPr>
          <w:r>
            <w:rPr>
              <w:rFonts w:cs="CopprplGoth BT" w:ascii="CopprplGoth BT" w:hAnsi="CopprplGoth BT"/>
              <w:sz w:val="20"/>
            </w:rPr>
          </w:r>
        </w:p>
      </w:tc>
    </w:tr>
  </w:tbl>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9" w:type="dxa"/>
      <w:jc w:val="start"/>
      <w:tblInd w:w="108" w:type="dxa"/>
      <w:tblLayout w:type="fixed"/>
      <w:tblCellMar>
        <w:top w:w="0" w:type="dxa"/>
        <w:start w:w="108" w:type="dxa"/>
        <w:bottom w:w="0" w:type="dxa"/>
        <w:end w:w="108" w:type="dxa"/>
      </w:tblCellMar>
    </w:tblPr>
    <w:tblGrid>
      <w:gridCol w:w="6804"/>
      <w:gridCol w:w="2835"/>
    </w:tblGrid>
    <w:tr>
      <w:trPr/>
      <w:tc>
        <w:tcPr>
          <w:tcW w:w="6804" w:type="dxa"/>
          <w:tcBorders>
            <w:bottom w:val="single" w:sz="4" w:space="0" w:color="000000"/>
          </w:tcBorders>
        </w:tcPr>
        <w:p>
          <w:pPr>
            <w:pStyle w:val="Header"/>
            <w:tabs>
              <w:tab w:val="center" w:pos="4153" w:leader="none"/>
              <w:tab w:val="right" w:pos="8306" w:leader="none"/>
              <w:tab w:val="right" w:pos="9000" w:leader="none"/>
            </w:tabs>
            <w:spacing w:before="0" w:after="120"/>
            <w:ind w:start="-108" w:end="0"/>
            <w:rPr>
              <w:spacing w:val="28"/>
              <w:sz w:val="20"/>
            </w:rPr>
          </w:pPr>
          <w:r>
            <w:rPr>
              <w:spacing w:val="28"/>
              <w:sz w:val="20"/>
            </w:rPr>
            <w:t>GUANGDONG INTERNATIONAL TRUST &amp; INVESTMENT CORPORATION - IMPLICATIONS ON DERIVATIVE TRANSACTIONS WITH CHINESE COUNTERPARTIES</w:t>
          </w:r>
        </w:p>
      </w:tc>
      <w:tc>
        <w:tcPr>
          <w:tcW w:w="2835" w:type="dxa"/>
          <w:tcBorders>
            <w:bottom w:val="single" w:sz="4" w:space="0" w:color="000000"/>
          </w:tcBorders>
        </w:tcPr>
        <w:p>
          <w:pPr>
            <w:pStyle w:val="Header"/>
            <w:tabs>
              <w:tab w:val="center" w:pos="4153" w:leader="none"/>
              <w:tab w:val="right" w:pos="8306" w:leader="none"/>
              <w:tab w:val="right" w:pos="9000" w:leader="none"/>
            </w:tabs>
            <w:ind w:end="-108"/>
            <w:jc w:val="end"/>
            <w:rPr>
              <w:i/>
              <w:i/>
              <w:spacing w:val="20"/>
              <w:sz w:val="20"/>
            </w:rPr>
          </w:pPr>
          <w:r>
            <w:rPr>
              <w:i/>
              <w:spacing w:val="20"/>
              <w:sz w:val="20"/>
            </w:rPr>
            <w:t>July 2000</w:t>
          </w:r>
        </w:p>
        <w:p>
          <w:pPr>
            <w:pStyle w:val="Header"/>
            <w:tabs>
              <w:tab w:val="center" w:pos="4153" w:leader="none"/>
              <w:tab w:val="right" w:pos="8306" w:leader="none"/>
              <w:tab w:val="right" w:pos="9000" w:leader="none"/>
            </w:tabs>
            <w:ind w:end="-44"/>
            <w:jc w:val="end"/>
            <w:rPr>
              <w:b/>
              <w:i/>
              <w:i/>
              <w:spacing w:val="20"/>
              <w:sz w:val="20"/>
            </w:rPr>
          </w:pPr>
          <w:r>
            <w:rPr>
              <w:b/>
              <w:i/>
              <w:spacing w:val="20"/>
              <w:sz w:val="20"/>
            </w:rPr>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9" w:type="dxa"/>
      <w:jc w:val="start"/>
      <w:tblInd w:w="108" w:type="dxa"/>
      <w:tblLayout w:type="fixed"/>
      <w:tblCellMar>
        <w:top w:w="0" w:type="dxa"/>
        <w:start w:w="108" w:type="dxa"/>
        <w:bottom w:w="0" w:type="dxa"/>
        <w:end w:w="108" w:type="dxa"/>
      </w:tblCellMar>
    </w:tblPr>
    <w:tblGrid>
      <w:gridCol w:w="6804"/>
      <w:gridCol w:w="2835"/>
    </w:tblGrid>
    <w:tr>
      <w:trPr/>
      <w:tc>
        <w:tcPr>
          <w:tcW w:w="6804" w:type="dxa"/>
          <w:tcBorders>
            <w:bottom w:val="single" w:sz="4" w:space="0" w:color="000000"/>
          </w:tcBorders>
        </w:tcPr>
        <w:p>
          <w:pPr>
            <w:pStyle w:val="Header"/>
            <w:tabs>
              <w:tab w:val="center" w:pos="4153" w:leader="none"/>
              <w:tab w:val="right" w:pos="8306" w:leader="none"/>
              <w:tab w:val="right" w:pos="9000" w:leader="none"/>
            </w:tabs>
            <w:spacing w:before="0" w:after="120"/>
            <w:ind w:start="-108" w:end="0"/>
            <w:rPr>
              <w:spacing w:val="28"/>
              <w:sz w:val="20"/>
            </w:rPr>
          </w:pPr>
          <w:r>
            <w:rPr>
              <w:spacing w:val="28"/>
              <w:sz w:val="20"/>
            </w:rPr>
            <w:t>GUANGDONG INTERNATIONAL TRUST &amp; INVESTMENT CORPORATION - IMPLICATIONS ON DERIVATIVE TRANSACTIONS WITH CHINESE COUNTERPARTIES</w:t>
          </w:r>
        </w:p>
      </w:tc>
      <w:tc>
        <w:tcPr>
          <w:tcW w:w="2835" w:type="dxa"/>
          <w:tcBorders>
            <w:bottom w:val="single" w:sz="4" w:space="0" w:color="000000"/>
          </w:tcBorders>
        </w:tcPr>
        <w:p>
          <w:pPr>
            <w:pStyle w:val="Header"/>
            <w:tabs>
              <w:tab w:val="center" w:pos="4153" w:leader="none"/>
              <w:tab w:val="right" w:pos="8306" w:leader="none"/>
              <w:tab w:val="right" w:pos="9000" w:leader="none"/>
            </w:tabs>
            <w:ind w:end="-108"/>
            <w:jc w:val="end"/>
            <w:rPr>
              <w:i/>
              <w:i/>
              <w:spacing w:val="20"/>
              <w:sz w:val="20"/>
            </w:rPr>
          </w:pPr>
          <w:r>
            <w:rPr>
              <w:i/>
              <w:spacing w:val="20"/>
              <w:sz w:val="20"/>
            </w:rPr>
            <w:t>July 2000</w:t>
          </w:r>
        </w:p>
        <w:p>
          <w:pPr>
            <w:pStyle w:val="Header"/>
            <w:tabs>
              <w:tab w:val="center" w:pos="4153" w:leader="none"/>
              <w:tab w:val="right" w:pos="8306" w:leader="none"/>
              <w:tab w:val="right" w:pos="9000" w:leader="none"/>
            </w:tabs>
            <w:ind w:end="-44"/>
            <w:jc w:val="end"/>
            <w:rPr>
              <w:b/>
              <w:i/>
              <w:i/>
              <w:spacing w:val="20"/>
              <w:sz w:val="20"/>
            </w:rPr>
          </w:pPr>
          <w:r>
            <w:rPr>
              <w:b/>
              <w:i/>
              <w:spacing w:val="20"/>
              <w:sz w:val="20"/>
            </w:rPr>
          </w:r>
        </w:p>
      </w:tc>
    </w:tr>
  </w:tbl>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9" w:type="dxa"/>
      <w:jc w:val="start"/>
      <w:tblInd w:w="108" w:type="dxa"/>
      <w:tblLayout w:type="fixed"/>
      <w:tblCellMar>
        <w:top w:w="0" w:type="dxa"/>
        <w:start w:w="108" w:type="dxa"/>
        <w:bottom w:w="0" w:type="dxa"/>
        <w:end w:w="108" w:type="dxa"/>
      </w:tblCellMar>
    </w:tblPr>
    <w:tblGrid>
      <w:gridCol w:w="6804"/>
      <w:gridCol w:w="2835"/>
    </w:tblGrid>
    <w:tr>
      <w:trPr/>
      <w:tc>
        <w:tcPr>
          <w:tcW w:w="6804" w:type="dxa"/>
          <w:tcBorders>
            <w:bottom w:val="single" w:sz="4" w:space="0" w:color="000000"/>
          </w:tcBorders>
        </w:tcPr>
        <w:p>
          <w:pPr>
            <w:pStyle w:val="Header"/>
            <w:tabs>
              <w:tab w:val="center" w:pos="4153" w:leader="none"/>
              <w:tab w:val="right" w:pos="8306" w:leader="none"/>
              <w:tab w:val="right" w:pos="9000" w:leader="none"/>
            </w:tabs>
            <w:spacing w:before="0" w:after="120"/>
            <w:ind w:start="-108" w:end="0"/>
            <w:rPr>
              <w:spacing w:val="28"/>
              <w:sz w:val="20"/>
            </w:rPr>
          </w:pPr>
          <w:r>
            <w:rPr>
              <w:spacing w:val="28"/>
              <w:sz w:val="20"/>
            </w:rPr>
            <w:t>GUANGDONG INTERNATIONAL TRUST &amp; INVESTMENT CORPORATION - IMPLICATIONS ON DERIVATIVE TRANSACTIONS WITH CHINESE COUNTERPARTIES</w:t>
          </w:r>
        </w:p>
      </w:tc>
      <w:tc>
        <w:tcPr>
          <w:tcW w:w="2835" w:type="dxa"/>
          <w:tcBorders>
            <w:bottom w:val="single" w:sz="4" w:space="0" w:color="000000"/>
          </w:tcBorders>
        </w:tcPr>
        <w:p>
          <w:pPr>
            <w:pStyle w:val="Header"/>
            <w:tabs>
              <w:tab w:val="center" w:pos="4153" w:leader="none"/>
              <w:tab w:val="right" w:pos="8306" w:leader="none"/>
              <w:tab w:val="right" w:pos="9000" w:leader="none"/>
            </w:tabs>
            <w:ind w:end="-108"/>
            <w:jc w:val="end"/>
            <w:rPr>
              <w:i/>
              <w:i/>
              <w:spacing w:val="20"/>
              <w:sz w:val="20"/>
            </w:rPr>
          </w:pPr>
          <w:r>
            <w:rPr>
              <w:i/>
              <w:spacing w:val="20"/>
              <w:sz w:val="20"/>
            </w:rPr>
            <w:t>July 2000</w:t>
          </w:r>
        </w:p>
        <w:p>
          <w:pPr>
            <w:pStyle w:val="Header"/>
            <w:tabs>
              <w:tab w:val="center" w:pos="4153" w:leader="none"/>
              <w:tab w:val="right" w:pos="8306" w:leader="none"/>
              <w:tab w:val="right" w:pos="9000" w:leader="none"/>
            </w:tabs>
            <w:ind w:end="-44"/>
            <w:jc w:val="end"/>
            <w:rPr>
              <w:b/>
              <w:i/>
              <w:i/>
              <w:spacing w:val="20"/>
              <w:sz w:val="20"/>
            </w:rPr>
          </w:pPr>
          <w:r>
            <w:rPr>
              <w:b/>
              <w:i/>
              <w:spacing w:val="20"/>
              <w:sz w:val="20"/>
            </w:rPr>
          </w:r>
        </w:p>
      </w:tc>
    </w:tr>
  </w:tbl>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9" w:type="dxa"/>
      <w:jc w:val="start"/>
      <w:tblInd w:w="108" w:type="dxa"/>
      <w:tblLayout w:type="fixed"/>
      <w:tblCellMar>
        <w:top w:w="0" w:type="dxa"/>
        <w:start w:w="108" w:type="dxa"/>
        <w:bottom w:w="0" w:type="dxa"/>
        <w:end w:w="108" w:type="dxa"/>
      </w:tblCellMar>
    </w:tblPr>
    <w:tblGrid>
      <w:gridCol w:w="6804"/>
      <w:gridCol w:w="2835"/>
    </w:tblGrid>
    <w:tr>
      <w:trPr/>
      <w:tc>
        <w:tcPr>
          <w:tcW w:w="6804" w:type="dxa"/>
          <w:tcBorders>
            <w:bottom w:val="single" w:sz="4" w:space="0" w:color="000000"/>
          </w:tcBorders>
        </w:tcPr>
        <w:p>
          <w:pPr>
            <w:pStyle w:val="Header"/>
            <w:tabs>
              <w:tab w:val="center" w:pos="4153" w:leader="none"/>
              <w:tab w:val="right" w:pos="8306" w:leader="none"/>
              <w:tab w:val="right" w:pos="9000" w:leader="none"/>
            </w:tabs>
            <w:spacing w:before="0" w:after="120"/>
            <w:ind w:start="-108" w:end="0"/>
            <w:rPr>
              <w:spacing w:val="28"/>
              <w:sz w:val="20"/>
            </w:rPr>
          </w:pPr>
          <w:r>
            <w:rPr>
              <w:spacing w:val="28"/>
              <w:sz w:val="20"/>
            </w:rPr>
            <w:t>GUANGDONG INTERNATIONAL TRUST &amp; INVESTMENT CORPORATION - IMPLICATIONS ON DERIVATIVE TRANSACTIONS WITH CHINESE COUNTERPARTIES</w:t>
          </w:r>
        </w:p>
      </w:tc>
      <w:tc>
        <w:tcPr>
          <w:tcW w:w="2835" w:type="dxa"/>
          <w:tcBorders>
            <w:bottom w:val="single" w:sz="4" w:space="0" w:color="000000"/>
          </w:tcBorders>
        </w:tcPr>
        <w:p>
          <w:pPr>
            <w:pStyle w:val="Header"/>
            <w:tabs>
              <w:tab w:val="center" w:pos="4153" w:leader="none"/>
              <w:tab w:val="right" w:pos="8306" w:leader="none"/>
              <w:tab w:val="right" w:pos="9000" w:leader="none"/>
            </w:tabs>
            <w:ind w:end="-108"/>
            <w:jc w:val="end"/>
            <w:rPr>
              <w:i/>
              <w:i/>
              <w:spacing w:val="20"/>
              <w:sz w:val="20"/>
            </w:rPr>
          </w:pPr>
          <w:r>
            <w:rPr>
              <w:i/>
              <w:spacing w:val="20"/>
              <w:sz w:val="20"/>
            </w:rPr>
            <w:t>July 2000</w:t>
          </w:r>
        </w:p>
        <w:p>
          <w:pPr>
            <w:pStyle w:val="Header"/>
            <w:tabs>
              <w:tab w:val="center" w:pos="4153" w:leader="none"/>
              <w:tab w:val="right" w:pos="8306" w:leader="none"/>
              <w:tab w:val="right" w:pos="9000" w:leader="none"/>
            </w:tabs>
            <w:ind w:end="-44"/>
            <w:jc w:val="end"/>
            <w:rPr>
              <w:b/>
              <w:i/>
              <w:i/>
              <w:spacing w:val="20"/>
              <w:sz w:val="20"/>
            </w:rPr>
          </w:pPr>
          <w:r>
            <w:rPr>
              <w:b/>
              <w:i/>
              <w:spacing w:val="20"/>
              <w:sz w:val="20"/>
            </w:rPr>
          </w:r>
        </w:p>
      </w:tc>
    </w:tr>
  </w:tbl>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9" w:type="dxa"/>
      <w:jc w:val="start"/>
      <w:tblInd w:w="108" w:type="dxa"/>
      <w:tblLayout w:type="fixed"/>
      <w:tblCellMar>
        <w:top w:w="0" w:type="dxa"/>
        <w:start w:w="108" w:type="dxa"/>
        <w:bottom w:w="0" w:type="dxa"/>
        <w:end w:w="108" w:type="dxa"/>
      </w:tblCellMar>
    </w:tblPr>
    <w:tblGrid>
      <w:gridCol w:w="6804"/>
      <w:gridCol w:w="2835"/>
    </w:tblGrid>
    <w:tr>
      <w:trPr/>
      <w:tc>
        <w:tcPr>
          <w:tcW w:w="6804" w:type="dxa"/>
          <w:tcBorders>
            <w:bottom w:val="single" w:sz="4" w:space="0" w:color="000000"/>
          </w:tcBorders>
        </w:tcPr>
        <w:p>
          <w:pPr>
            <w:pStyle w:val="Header"/>
            <w:tabs>
              <w:tab w:val="center" w:pos="4153" w:leader="none"/>
              <w:tab w:val="right" w:pos="8306" w:leader="none"/>
              <w:tab w:val="right" w:pos="9000" w:leader="none"/>
            </w:tabs>
            <w:spacing w:before="0" w:after="120"/>
            <w:ind w:start="-108" w:end="0"/>
            <w:rPr>
              <w:spacing w:val="28"/>
              <w:sz w:val="20"/>
            </w:rPr>
          </w:pPr>
          <w:r>
            <w:rPr>
              <w:spacing w:val="28"/>
              <w:sz w:val="20"/>
            </w:rPr>
            <w:t>GUANGDONG INTERNATIONAL TRUST &amp; INVESTMENT CORPORATION - IMPLICATIONS ON DERIVATIVE TRANSACTIONS WITH CHINESE COUNTERPARTIES</w:t>
          </w:r>
        </w:p>
      </w:tc>
      <w:tc>
        <w:tcPr>
          <w:tcW w:w="2835" w:type="dxa"/>
          <w:tcBorders>
            <w:bottom w:val="single" w:sz="4" w:space="0" w:color="000000"/>
          </w:tcBorders>
        </w:tcPr>
        <w:p>
          <w:pPr>
            <w:pStyle w:val="Header"/>
            <w:tabs>
              <w:tab w:val="center" w:pos="4153" w:leader="none"/>
              <w:tab w:val="right" w:pos="8306" w:leader="none"/>
              <w:tab w:val="right" w:pos="9000" w:leader="none"/>
            </w:tabs>
            <w:ind w:end="-108"/>
            <w:jc w:val="end"/>
            <w:rPr>
              <w:i/>
              <w:i/>
              <w:spacing w:val="20"/>
              <w:sz w:val="20"/>
            </w:rPr>
          </w:pPr>
          <w:r>
            <w:rPr>
              <w:i/>
              <w:spacing w:val="20"/>
              <w:sz w:val="20"/>
            </w:rPr>
            <w:t>July 2000</w:t>
          </w:r>
        </w:p>
        <w:p>
          <w:pPr>
            <w:pStyle w:val="Header"/>
            <w:tabs>
              <w:tab w:val="center" w:pos="4153" w:leader="none"/>
              <w:tab w:val="right" w:pos="8306" w:leader="none"/>
              <w:tab w:val="right" w:pos="9000" w:leader="none"/>
            </w:tabs>
            <w:ind w:end="-44"/>
            <w:jc w:val="end"/>
            <w:rPr>
              <w:b/>
              <w:i/>
              <w:i/>
              <w:spacing w:val="20"/>
              <w:sz w:val="20"/>
            </w:rPr>
          </w:pPr>
          <w:r>
            <w:rPr>
              <w:b/>
              <w:i/>
              <w:spacing w:val="20"/>
              <w:sz w:val="20"/>
            </w:rPr>
          </w:r>
        </w:p>
      </w:tc>
    </w:tr>
  </w:tbl>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9" w:type="dxa"/>
      <w:jc w:val="start"/>
      <w:tblInd w:w="108" w:type="dxa"/>
      <w:tblLayout w:type="fixed"/>
      <w:tblCellMar>
        <w:top w:w="0" w:type="dxa"/>
        <w:start w:w="108" w:type="dxa"/>
        <w:bottom w:w="0" w:type="dxa"/>
        <w:end w:w="108" w:type="dxa"/>
      </w:tblCellMar>
    </w:tblPr>
    <w:tblGrid>
      <w:gridCol w:w="6804"/>
      <w:gridCol w:w="2835"/>
    </w:tblGrid>
    <w:tr>
      <w:trPr/>
      <w:tc>
        <w:tcPr>
          <w:tcW w:w="6804" w:type="dxa"/>
          <w:tcBorders>
            <w:bottom w:val="single" w:sz="4" w:space="0" w:color="000000"/>
          </w:tcBorders>
        </w:tcPr>
        <w:p>
          <w:pPr>
            <w:pStyle w:val="Header"/>
            <w:tabs>
              <w:tab w:val="center" w:pos="4153" w:leader="none"/>
              <w:tab w:val="right" w:pos="8306" w:leader="none"/>
              <w:tab w:val="right" w:pos="9000" w:leader="none"/>
            </w:tabs>
            <w:spacing w:before="0" w:after="120"/>
            <w:ind w:start="-108" w:end="0"/>
            <w:rPr>
              <w:spacing w:val="28"/>
              <w:sz w:val="20"/>
            </w:rPr>
          </w:pPr>
          <w:r>
            <w:rPr>
              <w:spacing w:val="28"/>
              <w:sz w:val="20"/>
            </w:rPr>
            <w:t>GUANGDONG INTERNATIONAL TRUST &amp; INVESTMENT CORPORATION - IMPLICATIONS ON DERIVATIVE TRANSACTIONS WITH CHINESE COUNTERPARTIES</w:t>
          </w:r>
        </w:p>
      </w:tc>
      <w:tc>
        <w:tcPr>
          <w:tcW w:w="2835" w:type="dxa"/>
          <w:tcBorders>
            <w:bottom w:val="single" w:sz="4" w:space="0" w:color="000000"/>
          </w:tcBorders>
        </w:tcPr>
        <w:p>
          <w:pPr>
            <w:pStyle w:val="Header"/>
            <w:tabs>
              <w:tab w:val="center" w:pos="4153" w:leader="none"/>
              <w:tab w:val="right" w:pos="8306" w:leader="none"/>
              <w:tab w:val="right" w:pos="9000" w:leader="none"/>
            </w:tabs>
            <w:ind w:end="-108"/>
            <w:jc w:val="end"/>
            <w:rPr>
              <w:i/>
              <w:i/>
              <w:spacing w:val="20"/>
              <w:sz w:val="20"/>
            </w:rPr>
          </w:pPr>
          <w:r>
            <w:rPr>
              <w:i/>
              <w:spacing w:val="20"/>
              <w:sz w:val="20"/>
            </w:rPr>
            <w:t>July 2000</w:t>
          </w:r>
        </w:p>
        <w:p>
          <w:pPr>
            <w:pStyle w:val="Header"/>
            <w:tabs>
              <w:tab w:val="center" w:pos="4153" w:leader="none"/>
              <w:tab w:val="right" w:pos="8306" w:leader="none"/>
              <w:tab w:val="right" w:pos="9000" w:leader="none"/>
            </w:tabs>
            <w:ind w:end="-44"/>
            <w:jc w:val="end"/>
            <w:rPr>
              <w:b/>
              <w:i/>
              <w:i/>
              <w:spacing w:val="20"/>
              <w:sz w:val="20"/>
            </w:rPr>
          </w:pPr>
          <w:r>
            <w:rPr>
              <w:b/>
              <w:i/>
              <w:spacing w:val="20"/>
              <w:sz w:val="20"/>
            </w:rPr>
          </w:r>
        </w:p>
      </w:tc>
    </w:tr>
  </w:tbl>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9" w:type="dxa"/>
      <w:jc w:val="start"/>
      <w:tblInd w:w="108" w:type="dxa"/>
      <w:tblLayout w:type="fixed"/>
      <w:tblCellMar>
        <w:top w:w="0" w:type="dxa"/>
        <w:start w:w="108" w:type="dxa"/>
        <w:bottom w:w="0" w:type="dxa"/>
        <w:end w:w="108" w:type="dxa"/>
      </w:tblCellMar>
    </w:tblPr>
    <w:tblGrid>
      <w:gridCol w:w="6804"/>
      <w:gridCol w:w="2835"/>
    </w:tblGrid>
    <w:tr>
      <w:trPr/>
      <w:tc>
        <w:tcPr>
          <w:tcW w:w="6804" w:type="dxa"/>
          <w:tcBorders>
            <w:bottom w:val="single" w:sz="4" w:space="0" w:color="000000"/>
          </w:tcBorders>
        </w:tcPr>
        <w:p>
          <w:pPr>
            <w:pStyle w:val="Header"/>
            <w:tabs>
              <w:tab w:val="center" w:pos="4153" w:leader="none"/>
              <w:tab w:val="right" w:pos="8306" w:leader="none"/>
              <w:tab w:val="right" w:pos="9000" w:leader="none"/>
            </w:tabs>
            <w:spacing w:before="0" w:after="120"/>
            <w:ind w:start="-108" w:end="0"/>
            <w:rPr>
              <w:spacing w:val="28"/>
              <w:sz w:val="20"/>
            </w:rPr>
          </w:pPr>
          <w:r>
            <w:rPr>
              <w:spacing w:val="28"/>
              <w:sz w:val="20"/>
            </w:rPr>
            <w:t>GUANGDONG INTERNATIONAL TRUST &amp; INVESTMENT CORPORATION - IMPLICATIONS ON DERIVATIVE TRANSACTIONS WITH CHINESE COUNTERPARTIES</w:t>
          </w:r>
        </w:p>
      </w:tc>
      <w:tc>
        <w:tcPr>
          <w:tcW w:w="2835" w:type="dxa"/>
          <w:tcBorders>
            <w:bottom w:val="single" w:sz="4" w:space="0" w:color="000000"/>
          </w:tcBorders>
        </w:tcPr>
        <w:p>
          <w:pPr>
            <w:pStyle w:val="Header"/>
            <w:tabs>
              <w:tab w:val="center" w:pos="4153" w:leader="none"/>
              <w:tab w:val="right" w:pos="8306" w:leader="none"/>
              <w:tab w:val="right" w:pos="9000" w:leader="none"/>
            </w:tabs>
            <w:ind w:end="-108"/>
            <w:jc w:val="end"/>
            <w:rPr>
              <w:i/>
              <w:i/>
              <w:spacing w:val="20"/>
              <w:sz w:val="20"/>
            </w:rPr>
          </w:pPr>
          <w:r>
            <w:rPr>
              <w:i/>
              <w:spacing w:val="20"/>
              <w:sz w:val="20"/>
            </w:rPr>
            <w:t>July 2000</w:t>
          </w:r>
        </w:p>
        <w:p>
          <w:pPr>
            <w:pStyle w:val="Header"/>
            <w:tabs>
              <w:tab w:val="center" w:pos="4153" w:leader="none"/>
              <w:tab w:val="right" w:pos="8306" w:leader="none"/>
              <w:tab w:val="right" w:pos="9000" w:leader="none"/>
            </w:tabs>
            <w:ind w:end="-44"/>
            <w:jc w:val="end"/>
            <w:rPr>
              <w:b/>
              <w:i/>
              <w:i/>
              <w:spacing w:val="20"/>
              <w:sz w:val="20"/>
            </w:rPr>
          </w:pPr>
          <w:r>
            <w:rPr>
              <w:b/>
              <w:i/>
              <w:spacing w:val="20"/>
              <w:sz w:val="20"/>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lvl>
    <w:lvl w:ilvl="1">
      <w:start w:val="1"/>
      <w:numFmt w:val="decimal"/>
      <w:lvlText w:val="%1.%2"/>
      <w:lvlJc w:val="start"/>
      <w:pPr>
        <w:tabs>
          <w:tab w:val="num" w:pos="720"/>
        </w:tabs>
        <w:ind w:start="720" w:hanging="720"/>
      </w:pPr>
    </w:lvl>
    <w:lvl w:ilvl="2">
      <w:start w:val="1"/>
      <w:numFmt w:val="lowerLetter"/>
      <w:lvlText w:val="(%3)"/>
      <w:lvlJc w:val="start"/>
      <w:pPr>
        <w:tabs>
          <w:tab w:val="num" w:pos="1440"/>
        </w:tabs>
        <w:ind w:start="1440" w:hanging="720"/>
      </w:pPr>
    </w:lvl>
    <w:lvl w:ilvl="3">
      <w:start w:val="1"/>
      <w:numFmt w:val="lowerRoman"/>
      <w:lvlText w:val="(%4)"/>
      <w:lvlJc w:val="start"/>
      <w:pPr>
        <w:tabs>
          <w:tab w:val="num" w:pos="2160"/>
        </w:tabs>
        <w:ind w:start="2160" w:hanging="720"/>
      </w:pPr>
    </w:lvl>
    <w:lvl w:ilvl="4">
      <w:start w:val="1"/>
      <w:pStyle w:val="Heading5"/>
      <w:numFmt w:val="decimal"/>
      <w:lvlText w:val="%5."/>
      <w:lvlJc w:val="start"/>
      <w:pPr>
        <w:tabs>
          <w:tab w:val="num" w:pos="2880"/>
        </w:tabs>
        <w:ind w:start="2880" w:hanging="720"/>
      </w:pPr>
    </w:lvl>
    <w:lvl w:ilvl="5">
      <w:start w:val="1"/>
      <w:numFmt w:val="decimal"/>
      <w:lvlText w:val="%6."/>
      <w:lvlJc w:val="start"/>
      <w:pPr>
        <w:tabs>
          <w:tab w:val="num" w:pos="3600"/>
        </w:tabs>
        <w:ind w:start="3600" w:hanging="720"/>
      </w:pPr>
    </w:lvl>
    <w:lvl w:ilvl="6">
      <w:start w:val="1"/>
      <w:numFmt w:val="decimal"/>
      <w:lvlText w:val="%7."/>
      <w:lvlJc w:val="start"/>
      <w:pPr>
        <w:tabs>
          <w:tab w:val="num" w:pos="4320"/>
        </w:tabs>
        <w:ind w:start="4320" w:hanging="720"/>
      </w:pPr>
    </w:lvl>
    <w:lvl w:ilvl="7">
      <w:start w:val="1"/>
      <w:numFmt w:val="decimal"/>
      <w:lvlText w:val="%8."/>
      <w:lvlJc w:val="start"/>
      <w:pPr>
        <w:tabs>
          <w:tab w:val="num" w:pos="5040"/>
        </w:tabs>
        <w:ind w:start="5040" w:hanging="720"/>
      </w:pPr>
    </w:lvl>
    <w:lvl w:ilvl="8">
      <w:start w:val="1"/>
      <w:numFmt w:val="decimal"/>
      <w:lvlText w:val="%9."/>
      <w:lvlJc w:val="start"/>
      <w:pPr>
        <w:tabs>
          <w:tab w:val="num" w:pos="5760"/>
        </w:tabs>
        <w:ind w:start="5760" w:hanging="720"/>
      </w:pPr>
    </w:lvl>
  </w:abstractNum>
  <w:abstractNum w:abstractNumId="2">
    <w:lvl w:ilvl="0">
      <w:numFmt w:val="bullet"/>
      <w:lvlText w:val=""/>
      <w:lvlJc w:val="start"/>
      <w:pPr>
        <w:tabs>
          <w:tab w:val="num" w:pos="283"/>
        </w:tabs>
        <w:ind w:start="283" w:hanging="283"/>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5"/>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Normal"/>
    <w:qFormat/>
    <w:pPr>
      <w:keepNext w:val="true"/>
      <w:spacing w:before="0" w:after="240"/>
      <w:jc w:val="both"/>
      <w:outlineLvl w:val="0"/>
    </w:pPr>
    <w:rPr>
      <w:b/>
      <w:caps/>
      <w:kern w:val="2"/>
    </w:rPr>
  </w:style>
  <w:style w:type="paragraph" w:styleId="Heading2">
    <w:name w:val="heading 2"/>
    <w:basedOn w:val="Normal"/>
    <w:next w:val="Normal"/>
    <w:qFormat/>
    <w:pPr>
      <w:keepNext w:val="true"/>
      <w:spacing w:before="0" w:after="240"/>
      <w:jc w:val="both"/>
      <w:outlineLvl w:val="1"/>
    </w:pPr>
    <w:rPr>
      <w:b/>
    </w:rPr>
  </w:style>
  <w:style w:type="paragraph" w:styleId="Heading3">
    <w:name w:val="heading 3"/>
    <w:basedOn w:val="Normal"/>
    <w:next w:val="Normal"/>
    <w:qFormat/>
    <w:pPr>
      <w:widowControl w:val="false"/>
      <w:spacing w:before="0" w:after="240"/>
      <w:jc w:val="both"/>
      <w:outlineLvl w:val="2"/>
    </w:pPr>
    <w:rPr/>
  </w:style>
  <w:style w:type="paragraph" w:styleId="Heading4">
    <w:name w:val="heading 4"/>
    <w:basedOn w:val="Normal"/>
    <w:next w:val="Normal"/>
    <w:qFormat/>
    <w:pPr>
      <w:widowControl w:val="false"/>
      <w:spacing w:before="0" w:after="240"/>
      <w:jc w:val="both"/>
      <w:outlineLvl w:val="3"/>
    </w:pPr>
    <w:rPr/>
  </w:style>
  <w:style w:type="paragraph" w:styleId="Heading5">
    <w:name w:val="heading 5"/>
    <w:basedOn w:val="Normal"/>
    <w:next w:val="Normal"/>
    <w:qFormat/>
    <w:pPr>
      <w:numPr>
        <w:ilvl w:val="4"/>
        <w:numId w:val="1"/>
      </w:numPr>
      <w:spacing w:before="0" w:after="240"/>
      <w:outlineLvl w:val="4"/>
    </w:pPr>
    <w:rPr>
      <w:lang w:val="en-GB"/>
    </w:rPr>
  </w:style>
  <w:style w:type="paragraph" w:styleId="Heading6">
    <w:name w:val="heading 6"/>
    <w:basedOn w:val="Normal"/>
    <w:next w:val="Normal"/>
    <w:qFormat/>
    <w:pPr>
      <w:spacing w:before="240" w:after="60"/>
      <w:jc w:val="both"/>
      <w:outlineLvl w:val="5"/>
    </w:pPr>
    <w:rPr/>
  </w:style>
  <w:style w:type="paragraph" w:styleId="Heading7">
    <w:name w:val="heading 7"/>
    <w:basedOn w:val="Normal"/>
    <w:next w:val="Normal"/>
    <w:qFormat/>
    <w:pPr>
      <w:spacing w:before="240" w:after="60"/>
      <w:jc w:val="both"/>
      <w:outlineLvl w:val="6"/>
    </w:pPr>
    <w:rPr/>
  </w:style>
  <w:style w:type="paragraph" w:styleId="Heading8">
    <w:name w:val="heading 8"/>
    <w:basedOn w:val="Normal"/>
    <w:next w:val="Normal"/>
    <w:qFormat/>
    <w:pPr>
      <w:spacing w:before="240" w:after="60"/>
      <w:jc w:val="both"/>
      <w:outlineLvl w:val="7"/>
    </w:pPr>
    <w:rPr/>
  </w:style>
  <w:style w:type="paragraph" w:styleId="Heading9">
    <w:name w:val="heading 9"/>
    <w:basedOn w:val="Normal"/>
    <w:next w:val="Normal"/>
    <w:qFormat/>
    <w:pPr>
      <w:spacing w:before="240" w:after="60"/>
      <w:jc w:val="both"/>
      <w:outlineLvl w:val="8"/>
    </w:pPr>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St28z0">
    <w:name w:val="WW8NumSt28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color w:val="FF0000"/>
      <w:sz w:val="16"/>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mallCaps/>
      <w:sz w:val="32"/>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caps/>
      <w:color w:val="FF0000"/>
      <w:spacing w:val="282"/>
      <w:sz w:val="120"/>
      <w:lang w:val="en-CA"/>
    </w:rPr>
  </w:style>
  <w:style w:type="paragraph" w:styleId="BodyTextIndent">
    <w:name w:val="Body Text Indent"/>
    <w:basedOn w:val="Normal"/>
    <w:pPr>
      <w:ind w:hanging="0" w:start="142" w:end="0"/>
    </w:pPr>
    <w:rPr>
      <w:sz w:val="20"/>
      <w:lang w:val="en-US"/>
    </w:rPr>
  </w:style>
  <w:style w:type="paragraph" w:styleId="EnvelopeReturn">
    <w:name w:val="envelope return"/>
    <w:basedOn w:val="Normal"/>
    <w:pPr/>
    <w:rPr>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yperlink" Target="http://www.allenovery.com/" TargetMode="Externa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plain.dot</Template>
  <TotalTime>132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2000-07-04T06:31:00Z</dcterms:created>
  <dc:creator>Georgiou Nicholas</dc:creator>
  <dc:description/>
  <cp:keywords>Shared</cp:keywords>
  <dc:language>en-CA</dc:language>
  <cp:lastModifiedBy>Allen &amp; Overy</cp:lastModifiedBy>
  <cp:lastPrinted>2000-07-05T10:34:00Z</cp:lastPrinted>
  <dcterms:modified xsi:type="dcterms:W3CDTF">2000-07-05T00:13:00Z</dcterms:modified>
  <cp:revision>8</cp:revision>
  <dc:subject/>
  <dc:title>template for Marketing Dept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number">
    <vt:lpwstr>99999</vt:lpwstr>
  </property>
  <property fmtid="{D5CDD505-2E9C-101B-9397-08002B2CF9AE}" pid="3" name="Dept">
    <vt:lpwstr>Marketing/Training</vt:lpwstr>
  </property>
  <property fmtid="{D5CDD505-2E9C-101B-9397-08002B2CF9AE}" pid="4" name="Language">
    <vt:lpwstr>English</vt:lpwstr>
  </property>
  <property fmtid="{D5CDD505-2E9C-101B-9397-08002B2CF9AE}" pid="5" name="LegalDocType">
    <vt:lpwstr/>
  </property>
  <property fmtid="{D5CDD505-2E9C-101B-9397-08002B2CF9AE}" pid="6" name="MatterNumber">
    <vt:lpwstr>99999</vt:lpwstr>
  </property>
  <property fmtid="{D5CDD505-2E9C-101B-9397-08002B2CF9AE}" pid="7" name="Partner">
    <vt:lpwstr/>
  </property>
  <property fmtid="{D5CDD505-2E9C-101B-9397-08002B2CF9AE}" pid="8" name="Path">
    <vt:lpwstr>\\HKSQL1\Docs\OTHER\MARKETIN\NG\Bulletin\template.doc</vt:lpwstr>
  </property>
  <property fmtid="{D5CDD505-2E9C-101B-9397-08002B2CF9AE}" pid="9" name="UserID">
    <vt:lpwstr>GEORGION</vt:lpwstr>
  </property>
</Properties>
</file>