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FIRM PIPELINE CAPACITY CONNECTED WITH SOUTHERN CALIFORNIA GAS COMPANY</w:t>
      </w:r>
    </w:p>
    <w:p>
      <w:pPr>
        <w:pStyle w:val="Normal"/>
        <w:rPr>
          <w:b/>
          <w:sz w:val="22"/>
        </w:rPr>
      </w:pPr>
      <w:r>
        <w:rPr>
          <w:b/>
          <w:sz w:val="22"/>
        </w:rPr>
      </w:r>
    </w:p>
    <w:p>
      <w:pPr>
        <w:pStyle w:val="Normal"/>
        <w:rPr>
          <w:sz w:val="22"/>
        </w:rPr>
      </w:pPr>
      <w:r>
        <w:rPr>
          <w:sz w:val="22"/>
        </w:rPr>
      </w:r>
    </w:p>
    <w:tbl>
      <w:tblPr>
        <w:tblW w:w="10800" w:type="dxa"/>
        <w:jc w:val="start"/>
        <w:tblInd w:w="-432" w:type="dxa"/>
        <w:tblLayout w:type="fixed"/>
        <w:tblCellMar>
          <w:top w:w="0" w:type="dxa"/>
          <w:start w:w="108" w:type="dxa"/>
          <w:bottom w:w="0" w:type="dxa"/>
          <w:end w:w="108" w:type="dxa"/>
        </w:tblCellMar>
      </w:tblPr>
      <w:tblGrid>
        <w:gridCol w:w="3330"/>
        <w:gridCol w:w="4770"/>
        <w:gridCol w:w="2700"/>
      </w:tblGrid>
      <w:tr>
        <w:trPr/>
        <w:tc>
          <w:tcPr>
            <w:tcW w:w="3330" w:type="dxa"/>
            <w:tcBorders/>
          </w:tcPr>
          <w:p>
            <w:pPr>
              <w:pStyle w:val="Normal"/>
              <w:rPr>
                <w:b/>
                <w:sz w:val="22"/>
              </w:rPr>
            </w:pPr>
            <w:r>
              <w:rPr>
                <w:b/>
                <w:sz w:val="22"/>
              </w:rPr>
              <w:t>Delivery Point</w:t>
            </w:r>
          </w:p>
        </w:tc>
        <w:tc>
          <w:tcPr>
            <w:tcW w:w="4770" w:type="dxa"/>
            <w:tcBorders/>
          </w:tcPr>
          <w:p>
            <w:pPr>
              <w:pStyle w:val="Normal"/>
              <w:rPr>
                <w:b/>
                <w:sz w:val="22"/>
              </w:rPr>
            </w:pPr>
            <w:r>
              <w:rPr>
                <w:rFonts w:eastAsia="Arial"/>
                <w:b/>
                <w:sz w:val="22"/>
              </w:rPr>
              <w:t xml:space="preserve">     </w:t>
            </w:r>
            <w:r>
              <w:rPr>
                <w:b/>
                <w:sz w:val="22"/>
              </w:rPr>
              <w:t>Delivering Pipeline and Capacity</w:t>
            </w:r>
          </w:p>
          <w:p>
            <w:pPr>
              <w:pStyle w:val="Normal"/>
              <w:rPr>
                <w:b/>
                <w:sz w:val="22"/>
              </w:rPr>
            </w:pPr>
            <w:r>
              <w:rPr>
                <w:b/>
              </w:rPr>
              <w:tab/>
              <w:tab/>
              <w:t xml:space="preserve">  (MMcfd)</w:t>
            </w:r>
          </w:p>
        </w:tc>
        <w:tc>
          <w:tcPr>
            <w:tcW w:w="2700" w:type="dxa"/>
            <w:tcBorders/>
          </w:tcPr>
          <w:p>
            <w:pPr>
              <w:pStyle w:val="Normal"/>
              <w:jc w:val="center"/>
              <w:rPr/>
            </w:pPr>
            <w:r>
              <w:rPr>
                <w:b/>
                <w:sz w:val="22"/>
              </w:rPr>
              <w:t xml:space="preserve">SoCalGas Take-Away Capacity </w:t>
            </w:r>
            <w:r>
              <w:rPr>
                <w:b/>
              </w:rPr>
              <w:t>(MMcfd)</w:t>
            </w:r>
          </w:p>
        </w:tc>
      </w:tr>
      <w:tr>
        <w:trPr/>
        <w:tc>
          <w:tcPr>
            <w:tcW w:w="3330" w:type="dxa"/>
            <w:tcBorders/>
          </w:tcPr>
          <w:p>
            <w:pPr>
              <w:pStyle w:val="Normal"/>
              <w:snapToGrid w:val="false"/>
              <w:rPr>
                <w:b/>
                <w:sz w:val="22"/>
              </w:rPr>
            </w:pPr>
            <w:r>
              <w:rPr>
                <w:b/>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rPr>
                <w:sz w:val="22"/>
              </w:rPr>
            </w:pPr>
            <w:r>
              <w:rPr>
                <w:sz w:val="22"/>
              </w:rPr>
            </w:r>
          </w:p>
        </w:tc>
      </w:tr>
      <w:tr>
        <w:trPr/>
        <w:tc>
          <w:tcPr>
            <w:tcW w:w="3330" w:type="dxa"/>
            <w:tcBorders/>
          </w:tcPr>
          <w:p>
            <w:pPr>
              <w:pStyle w:val="Normal"/>
              <w:rPr>
                <w:sz w:val="22"/>
              </w:rPr>
            </w:pPr>
            <w:r>
              <w:rPr>
                <w:sz w:val="22"/>
              </w:rPr>
              <w:t>Cole Levee (Gosford)</w:t>
            </w:r>
          </w:p>
        </w:tc>
        <w:tc>
          <w:tcPr>
            <w:tcW w:w="4770" w:type="dxa"/>
            <w:tcBorders/>
          </w:tcPr>
          <w:p>
            <w:pPr>
              <w:pStyle w:val="Normal"/>
              <w:rPr>
                <w:sz w:val="22"/>
              </w:rPr>
            </w:pPr>
            <w:r>
              <w:rPr>
                <w:sz w:val="22"/>
              </w:rPr>
              <w:t>Occidental</w:t>
              <w:tab/>
              <w:tab/>
              <w:tab/>
              <w:t xml:space="preserve">   200</w:t>
            </w:r>
          </w:p>
        </w:tc>
        <w:tc>
          <w:tcPr>
            <w:tcW w:w="2700" w:type="dxa"/>
            <w:tcBorders/>
          </w:tcPr>
          <w:p>
            <w:pPr>
              <w:pStyle w:val="Normal"/>
              <w:jc w:val="center"/>
              <w:rPr>
                <w:sz w:val="22"/>
              </w:rPr>
            </w:pPr>
            <w:r>
              <w:rPr>
                <w:sz w:val="22"/>
              </w:rPr>
              <w:t>Incl. in WR</w:t>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Kern River Station</w:t>
            </w:r>
          </w:p>
        </w:tc>
        <w:tc>
          <w:tcPr>
            <w:tcW w:w="4770" w:type="dxa"/>
            <w:tcBorders/>
          </w:tcPr>
          <w:p>
            <w:pPr>
              <w:pStyle w:val="Normal"/>
              <w:rPr>
                <w:sz w:val="22"/>
              </w:rPr>
            </w:pPr>
            <w:r>
              <w:rPr>
                <w:sz w:val="22"/>
              </w:rPr>
              <w:t>PG&amp;E Expansion</w:t>
              <w:tab/>
              <w:tab/>
              <w:t xml:space="preserve">   600</w:t>
            </w:r>
          </w:p>
        </w:tc>
        <w:tc>
          <w:tcPr>
            <w:tcW w:w="2700" w:type="dxa"/>
            <w:tcBorders/>
          </w:tcPr>
          <w:p>
            <w:pPr>
              <w:pStyle w:val="Normal"/>
              <w:jc w:val="center"/>
              <w:rPr>
                <w:sz w:val="22"/>
              </w:rPr>
            </w:pPr>
            <w:r>
              <w:rPr>
                <w:sz w:val="22"/>
              </w:rPr>
              <w:t>Incl. in WR</w:t>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Wheeler Ridge</w:t>
            </w:r>
          </w:p>
        </w:tc>
        <w:tc>
          <w:tcPr>
            <w:tcW w:w="4770" w:type="dxa"/>
            <w:tcBorders/>
          </w:tcPr>
          <w:p>
            <w:pPr>
              <w:pStyle w:val="Normal"/>
              <w:rPr>
                <w:sz w:val="22"/>
              </w:rPr>
            </w:pPr>
            <w:r>
              <w:rPr>
                <w:sz w:val="22"/>
              </w:rPr>
              <w:t>Kern River</w:t>
              <w:tab/>
              <w:tab/>
              <w:tab/>
              <w:t xml:space="preserve">   700</w:t>
            </w:r>
          </w:p>
        </w:tc>
        <w:tc>
          <w:tcPr>
            <w:tcW w:w="2700" w:type="dxa"/>
            <w:tcBorders/>
          </w:tcPr>
          <w:p>
            <w:pPr>
              <w:pStyle w:val="Normal"/>
              <w:jc w:val="center"/>
              <w:rPr>
                <w:sz w:val="22"/>
              </w:rPr>
            </w:pPr>
            <w:r>
              <w:rPr>
                <w:sz w:val="22"/>
              </w:rPr>
              <w:tab/>
              <w:t xml:space="preserve">  680 </w:t>
            </w:r>
            <w:r>
              <w:rPr>
                <w:sz w:val="22"/>
                <w:vertAlign w:val="superscript"/>
              </w:rPr>
              <w:t>(1) (2) (3)</w:t>
            </w:r>
          </w:p>
        </w:tc>
      </w:tr>
      <w:tr>
        <w:trPr/>
        <w:tc>
          <w:tcPr>
            <w:tcW w:w="3330" w:type="dxa"/>
            <w:tcBorders/>
          </w:tcPr>
          <w:p>
            <w:pPr>
              <w:pStyle w:val="Normal"/>
              <w:snapToGrid w:val="false"/>
              <w:rPr>
                <w:sz w:val="22"/>
              </w:rPr>
            </w:pPr>
            <w:r>
              <w:rPr>
                <w:sz w:val="22"/>
              </w:rPr>
            </w:r>
          </w:p>
        </w:tc>
        <w:tc>
          <w:tcPr>
            <w:tcW w:w="4770" w:type="dxa"/>
            <w:tcBorders/>
          </w:tcPr>
          <w:p>
            <w:pPr>
              <w:pStyle w:val="Normal"/>
              <w:rPr>
                <w:sz w:val="22"/>
              </w:rPr>
            </w:pPr>
            <w:r>
              <w:rPr>
                <w:sz w:val="22"/>
              </w:rPr>
              <w:t>Mojave</w:t>
              <w:tab/>
              <w:tab/>
              <w:tab/>
              <w:t xml:space="preserve">       Incl. in Topock</w:t>
            </w:r>
            <w:r>
              <w:rPr>
                <w:sz w:val="22"/>
                <w:vertAlign w:val="superscript"/>
              </w:rPr>
              <w:t>(4)</w:t>
            </w:r>
          </w:p>
        </w:tc>
        <w:tc>
          <w:tcPr>
            <w:tcW w:w="2700" w:type="dxa"/>
            <w:tcBorders/>
          </w:tcPr>
          <w:p>
            <w:pPr>
              <w:pStyle w:val="Normal"/>
              <w:snapToGrid w:val="false"/>
              <w:jc w:val="center"/>
              <w:rPr>
                <w:sz w:val="22"/>
              </w:rPr>
            </w:pPr>
            <w:r>
              <w:rPr>
                <w:sz w:val="22"/>
              </w:rPr>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Hector Road</w:t>
            </w:r>
          </w:p>
        </w:tc>
        <w:tc>
          <w:tcPr>
            <w:tcW w:w="4770" w:type="dxa"/>
            <w:tcBorders/>
          </w:tcPr>
          <w:p>
            <w:pPr>
              <w:pStyle w:val="Normal"/>
              <w:rPr>
                <w:sz w:val="22"/>
              </w:rPr>
            </w:pPr>
            <w:r>
              <w:rPr>
                <w:sz w:val="22"/>
              </w:rPr>
              <w:t>Mojave</w:t>
              <w:tab/>
              <w:tab/>
              <w:tab/>
              <w:t xml:space="preserve">       Incl. in Topock</w:t>
            </w:r>
            <w:r>
              <w:rPr>
                <w:sz w:val="22"/>
                <w:vertAlign w:val="superscript"/>
              </w:rPr>
              <w:t>(4)</w:t>
            </w:r>
          </w:p>
        </w:tc>
        <w:tc>
          <w:tcPr>
            <w:tcW w:w="2700" w:type="dxa"/>
            <w:tcBorders/>
          </w:tcPr>
          <w:p>
            <w:pPr>
              <w:pStyle w:val="Normal"/>
              <w:jc w:val="center"/>
              <w:rPr>
                <w:sz w:val="22"/>
              </w:rPr>
            </w:pPr>
            <w:r>
              <w:rPr>
                <w:rFonts w:eastAsia="Arial"/>
                <w:sz w:val="22"/>
              </w:rPr>
              <w:t xml:space="preserve">    </w:t>
            </w:r>
            <w:r>
              <w:rPr>
                <w:sz w:val="22"/>
              </w:rPr>
              <w:t>50</w:t>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North Needles</w:t>
            </w:r>
          </w:p>
        </w:tc>
        <w:tc>
          <w:tcPr>
            <w:tcW w:w="4770" w:type="dxa"/>
            <w:tcBorders/>
          </w:tcPr>
          <w:p>
            <w:pPr>
              <w:pStyle w:val="Normal"/>
              <w:rPr>
                <w:sz w:val="22"/>
              </w:rPr>
            </w:pPr>
            <w:r>
              <w:rPr>
                <w:sz w:val="22"/>
              </w:rPr>
              <w:t>Transwestern</w:t>
              <w:tab/>
              <w:tab/>
              <w:tab/>
              <w:t>1,090</w:t>
            </w:r>
          </w:p>
        </w:tc>
        <w:tc>
          <w:tcPr>
            <w:tcW w:w="2700" w:type="dxa"/>
            <w:tcBorders/>
          </w:tcPr>
          <w:p>
            <w:pPr>
              <w:pStyle w:val="Normal"/>
              <w:jc w:val="center"/>
              <w:rPr>
                <w:sz w:val="22"/>
              </w:rPr>
            </w:pPr>
            <w:r>
              <w:rPr>
                <w:rFonts w:eastAsia="Arial"/>
                <w:sz w:val="22"/>
              </w:rPr>
              <w:t xml:space="preserve">   </w:t>
            </w:r>
            <w:r>
              <w:rPr>
                <w:sz w:val="22"/>
              </w:rPr>
              <w:t>750</w:t>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South Needles (Topock)</w:t>
            </w:r>
          </w:p>
        </w:tc>
        <w:tc>
          <w:tcPr>
            <w:tcW w:w="4770" w:type="dxa"/>
            <w:tcBorders/>
          </w:tcPr>
          <w:p>
            <w:pPr>
              <w:pStyle w:val="Normal"/>
              <w:rPr>
                <w:sz w:val="22"/>
              </w:rPr>
            </w:pPr>
            <w:r>
              <w:rPr>
                <w:sz w:val="22"/>
              </w:rPr>
              <w:t>El Paso</w:t>
              <w:tab/>
              <w:tab/>
              <w:tab/>
              <w:t>2,230</w:t>
            </w:r>
          </w:p>
        </w:tc>
        <w:tc>
          <w:tcPr>
            <w:tcW w:w="2700" w:type="dxa"/>
            <w:tcBorders/>
          </w:tcPr>
          <w:p>
            <w:pPr>
              <w:pStyle w:val="Normal"/>
              <w:jc w:val="center"/>
              <w:rPr>
                <w:sz w:val="22"/>
              </w:rPr>
            </w:pPr>
            <w:r>
              <w:rPr>
                <w:rFonts w:eastAsia="Arial"/>
                <w:sz w:val="22"/>
              </w:rPr>
              <w:t xml:space="preserve">   </w:t>
            </w:r>
            <w:r>
              <w:rPr>
                <w:sz w:val="22"/>
              </w:rPr>
              <w:t>540</w:t>
            </w:r>
          </w:p>
        </w:tc>
      </w:tr>
      <w:tr>
        <w:trPr/>
        <w:tc>
          <w:tcPr>
            <w:tcW w:w="3330" w:type="dxa"/>
            <w:tcBorders/>
          </w:tcPr>
          <w:p>
            <w:pPr>
              <w:pStyle w:val="Normal"/>
              <w:snapToGrid w:val="false"/>
              <w:rPr>
                <w:sz w:val="22"/>
              </w:rPr>
            </w:pPr>
            <w:r>
              <w:rPr>
                <w:sz w:val="22"/>
              </w:rPr>
            </w:r>
          </w:p>
        </w:tc>
        <w:tc>
          <w:tcPr>
            <w:tcW w:w="4770" w:type="dxa"/>
            <w:tcBorders/>
          </w:tcPr>
          <w:p>
            <w:pPr>
              <w:pStyle w:val="Normal"/>
              <w:rPr>
                <w:sz w:val="22"/>
              </w:rPr>
            </w:pPr>
            <w:r>
              <w:rPr>
                <w:sz w:val="22"/>
              </w:rPr>
              <w:t>Transwestern</w:t>
              <w:tab/>
              <w:tab/>
              <w:t xml:space="preserve">   Incl. in No. Needles</w:t>
            </w:r>
            <w:r>
              <w:rPr>
                <w:sz w:val="22"/>
                <w:vertAlign w:val="superscript"/>
              </w:rPr>
              <w:t>(5)</w:t>
            </w:r>
          </w:p>
        </w:tc>
        <w:tc>
          <w:tcPr>
            <w:tcW w:w="2700" w:type="dxa"/>
            <w:tcBorders/>
          </w:tcPr>
          <w:p>
            <w:pPr>
              <w:pStyle w:val="Normal"/>
              <w:snapToGrid w:val="false"/>
              <w:jc w:val="center"/>
              <w:rPr>
                <w:sz w:val="22"/>
              </w:rPr>
            </w:pPr>
            <w:r>
              <w:rPr>
                <w:sz w:val="22"/>
              </w:rPr>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Blythe (Ehrenberg)</w:t>
            </w:r>
          </w:p>
        </w:tc>
        <w:tc>
          <w:tcPr>
            <w:tcW w:w="4770" w:type="dxa"/>
            <w:tcBorders/>
          </w:tcPr>
          <w:p>
            <w:pPr>
              <w:pStyle w:val="Normal"/>
              <w:rPr>
                <w:sz w:val="22"/>
              </w:rPr>
            </w:pPr>
            <w:r>
              <w:rPr>
                <w:sz w:val="22"/>
              </w:rPr>
              <w:t>El Paso</w:t>
              <w:tab/>
              <w:tab/>
              <w:tab/>
              <w:t>1,210</w:t>
            </w:r>
          </w:p>
        </w:tc>
        <w:tc>
          <w:tcPr>
            <w:tcW w:w="2700" w:type="dxa"/>
            <w:tcBorders/>
          </w:tcPr>
          <w:p>
            <w:pPr>
              <w:pStyle w:val="Normal"/>
              <w:jc w:val="center"/>
              <w:rPr>
                <w:sz w:val="22"/>
              </w:rPr>
            </w:pPr>
            <w:r>
              <w:rPr>
                <w:sz w:val="22"/>
              </w:rPr>
              <w:t>1,210</w:t>
            </w:r>
          </w:p>
        </w:tc>
      </w:tr>
      <w:tr>
        <w:trPr/>
        <w:tc>
          <w:tcPr>
            <w:tcW w:w="3330" w:type="dxa"/>
            <w:tcBorders/>
          </w:tcPr>
          <w:p>
            <w:pPr>
              <w:pStyle w:val="Normal"/>
              <w:snapToGrid w:val="false"/>
              <w:rPr>
                <w:sz w:val="22"/>
              </w:rPr>
            </w:pPr>
            <w:r>
              <w:rPr>
                <w:sz w:val="22"/>
              </w:rPr>
            </w:r>
          </w:p>
        </w:tc>
        <w:tc>
          <w:tcPr>
            <w:tcW w:w="4770" w:type="dxa"/>
            <w:tcBorders/>
          </w:tcPr>
          <w:p>
            <w:pPr>
              <w:pStyle w:val="Normal"/>
              <w:snapToGrid w:val="false"/>
              <w:rPr>
                <w:sz w:val="22"/>
              </w:rPr>
            </w:pPr>
            <w:r>
              <w:rPr>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Line 85</w:t>
            </w:r>
          </w:p>
        </w:tc>
        <w:tc>
          <w:tcPr>
            <w:tcW w:w="4770" w:type="dxa"/>
            <w:tcBorders/>
          </w:tcPr>
          <w:p>
            <w:pPr>
              <w:pStyle w:val="Normal"/>
              <w:rPr>
                <w:sz w:val="22"/>
              </w:rPr>
            </w:pPr>
            <w:r>
              <w:rPr>
                <w:sz w:val="22"/>
              </w:rPr>
              <w:t>Production</w:t>
              <w:tab/>
              <w:tab/>
              <w:tab/>
              <w:t xml:space="preserve">   150</w:t>
            </w:r>
          </w:p>
        </w:tc>
        <w:tc>
          <w:tcPr>
            <w:tcW w:w="2700" w:type="dxa"/>
            <w:tcBorders/>
          </w:tcPr>
          <w:p>
            <w:pPr>
              <w:pStyle w:val="Normal"/>
              <w:jc w:val="center"/>
              <w:rPr>
                <w:sz w:val="22"/>
              </w:rPr>
            </w:pPr>
            <w:r>
              <w:rPr>
                <w:rFonts w:eastAsia="Arial"/>
                <w:sz w:val="22"/>
              </w:rPr>
              <w:t xml:space="preserve">   </w:t>
            </w:r>
            <w:r>
              <w:rPr>
                <w:sz w:val="22"/>
              </w:rPr>
              <w:t>150</w:t>
            </w:r>
          </w:p>
        </w:tc>
      </w:tr>
      <w:tr>
        <w:trPr/>
        <w:tc>
          <w:tcPr>
            <w:tcW w:w="3330" w:type="dxa"/>
            <w:tcBorders/>
          </w:tcPr>
          <w:p>
            <w:pPr>
              <w:pStyle w:val="Normal"/>
              <w:snapToGrid w:val="false"/>
              <w:rPr>
                <w:b/>
                <w:sz w:val="22"/>
              </w:rPr>
            </w:pPr>
            <w:r>
              <w:rPr>
                <w:b/>
                <w:sz w:val="22"/>
              </w:rPr>
            </w:r>
          </w:p>
        </w:tc>
        <w:tc>
          <w:tcPr>
            <w:tcW w:w="4770" w:type="dxa"/>
            <w:tcBorders/>
          </w:tcPr>
          <w:p>
            <w:pPr>
              <w:pStyle w:val="Normal"/>
              <w:snapToGrid w:val="false"/>
              <w:rPr>
                <w:b/>
                <w:sz w:val="22"/>
              </w:rPr>
            </w:pPr>
            <w:r>
              <w:rPr>
                <w:b/>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sz w:val="22"/>
              </w:rPr>
            </w:pPr>
            <w:r>
              <w:rPr>
                <w:sz w:val="22"/>
              </w:rPr>
              <w:t>North Coastal</w:t>
            </w:r>
          </w:p>
        </w:tc>
        <w:tc>
          <w:tcPr>
            <w:tcW w:w="4770" w:type="dxa"/>
            <w:tcBorders/>
          </w:tcPr>
          <w:p>
            <w:pPr>
              <w:pStyle w:val="Normal"/>
              <w:rPr/>
            </w:pPr>
            <w:r>
              <w:rPr>
                <w:sz w:val="22"/>
              </w:rPr>
              <w:t>Production</w:t>
              <w:tab/>
              <w:tab/>
              <w:tab/>
            </w:r>
            <w:r>
              <w:rPr>
                <w:sz w:val="22"/>
                <w:u w:val="single"/>
              </w:rPr>
              <w:t xml:space="preserve">   120</w:t>
            </w:r>
            <w:r>
              <w:rPr>
                <w:sz w:val="22"/>
              </w:rPr>
              <w:tab/>
              <w:tab/>
            </w:r>
          </w:p>
        </w:tc>
        <w:tc>
          <w:tcPr>
            <w:tcW w:w="2700" w:type="dxa"/>
            <w:tcBorders/>
          </w:tcPr>
          <w:p>
            <w:pPr>
              <w:pStyle w:val="Normal"/>
              <w:jc w:val="center"/>
              <w:rPr>
                <w:sz w:val="22"/>
                <w:u w:val="single"/>
              </w:rPr>
            </w:pPr>
            <w:r>
              <w:rPr>
                <w:rFonts w:eastAsia="Arial"/>
                <w:sz w:val="22"/>
                <w:u w:val="single"/>
              </w:rPr>
              <w:t xml:space="preserve">   </w:t>
            </w:r>
            <w:r>
              <w:rPr>
                <w:sz w:val="22"/>
                <w:u w:val="single"/>
              </w:rPr>
              <w:t>120</w:t>
            </w:r>
          </w:p>
        </w:tc>
      </w:tr>
      <w:tr>
        <w:trPr/>
        <w:tc>
          <w:tcPr>
            <w:tcW w:w="3330" w:type="dxa"/>
            <w:tcBorders/>
          </w:tcPr>
          <w:p>
            <w:pPr>
              <w:pStyle w:val="Normal"/>
              <w:snapToGrid w:val="false"/>
              <w:rPr>
                <w:b/>
                <w:sz w:val="22"/>
                <w:u w:val="single"/>
              </w:rPr>
            </w:pPr>
            <w:r>
              <w:rPr>
                <w:b/>
                <w:sz w:val="22"/>
                <w:u w:val="single"/>
              </w:rPr>
            </w:r>
          </w:p>
        </w:tc>
        <w:tc>
          <w:tcPr>
            <w:tcW w:w="4770" w:type="dxa"/>
            <w:tcBorders/>
          </w:tcPr>
          <w:p>
            <w:pPr>
              <w:pStyle w:val="Normal"/>
              <w:snapToGrid w:val="false"/>
              <w:rPr>
                <w:b/>
                <w:sz w:val="22"/>
              </w:rPr>
            </w:pPr>
            <w:r>
              <w:rPr>
                <w:b/>
                <w:sz w:val="22"/>
              </w:rPr>
            </w:r>
          </w:p>
        </w:tc>
        <w:tc>
          <w:tcPr>
            <w:tcW w:w="2700" w:type="dxa"/>
            <w:tcBorders/>
          </w:tcPr>
          <w:p>
            <w:pPr>
              <w:pStyle w:val="Normal"/>
              <w:snapToGrid w:val="false"/>
              <w:jc w:val="center"/>
              <w:rPr>
                <w:sz w:val="22"/>
              </w:rPr>
            </w:pPr>
            <w:r>
              <w:rPr>
                <w:sz w:val="22"/>
              </w:rPr>
            </w:r>
          </w:p>
        </w:tc>
      </w:tr>
      <w:tr>
        <w:trPr/>
        <w:tc>
          <w:tcPr>
            <w:tcW w:w="3330" w:type="dxa"/>
            <w:tcBorders/>
          </w:tcPr>
          <w:p>
            <w:pPr>
              <w:pStyle w:val="Normal"/>
              <w:rPr>
                <w:b/>
                <w:sz w:val="22"/>
              </w:rPr>
            </w:pPr>
            <w:r>
              <w:rPr>
                <w:b/>
                <w:sz w:val="22"/>
              </w:rPr>
              <w:t>TOTAL</w:t>
            </w:r>
          </w:p>
        </w:tc>
        <w:tc>
          <w:tcPr>
            <w:tcW w:w="4770" w:type="dxa"/>
            <w:tcBorders/>
          </w:tcPr>
          <w:p>
            <w:pPr>
              <w:pStyle w:val="Normal"/>
              <w:rPr>
                <w:sz w:val="22"/>
              </w:rPr>
            </w:pPr>
            <w:r>
              <w:rPr>
                <w:sz w:val="22"/>
              </w:rPr>
              <w:tab/>
              <w:tab/>
              <w:tab/>
              <w:tab/>
              <w:t>6,300</w:t>
            </w:r>
          </w:p>
        </w:tc>
        <w:tc>
          <w:tcPr>
            <w:tcW w:w="2700" w:type="dxa"/>
            <w:tcBorders/>
          </w:tcPr>
          <w:p>
            <w:pPr>
              <w:pStyle w:val="Normal"/>
              <w:jc w:val="center"/>
              <w:rPr>
                <w:sz w:val="22"/>
              </w:rPr>
            </w:pPr>
            <w:r>
              <w:rPr>
                <w:sz w:val="22"/>
              </w:rPr>
              <w:t>3,500</w:t>
            </w:r>
          </w:p>
        </w:tc>
      </w:tr>
      <w:tr>
        <w:trPr/>
        <w:tc>
          <w:tcPr>
            <w:tcW w:w="3330" w:type="dxa"/>
            <w:tcBorders/>
          </w:tcPr>
          <w:p>
            <w:pPr>
              <w:pStyle w:val="Normal"/>
              <w:snapToGrid w:val="false"/>
              <w:rPr>
                <w:b/>
                <w:sz w:val="22"/>
              </w:rPr>
            </w:pPr>
            <w:r>
              <w:rPr>
                <w:b/>
                <w:sz w:val="22"/>
              </w:rPr>
            </w:r>
          </w:p>
        </w:tc>
        <w:tc>
          <w:tcPr>
            <w:tcW w:w="4770" w:type="dxa"/>
            <w:tcBorders/>
          </w:tcPr>
          <w:p>
            <w:pPr>
              <w:pStyle w:val="Normal"/>
              <w:snapToGrid w:val="false"/>
              <w:rPr>
                <w:b/>
                <w:sz w:val="22"/>
              </w:rPr>
            </w:pPr>
            <w:r>
              <w:rPr>
                <w:b/>
                <w:sz w:val="22"/>
              </w:rPr>
            </w:r>
          </w:p>
        </w:tc>
        <w:tc>
          <w:tcPr>
            <w:tcW w:w="2700" w:type="dxa"/>
            <w:tcBorders/>
          </w:tcPr>
          <w:p>
            <w:pPr>
              <w:pStyle w:val="Normal"/>
              <w:snapToGrid w:val="false"/>
              <w:jc w:val="center"/>
              <w:rPr>
                <w:sz w:val="22"/>
              </w:rPr>
            </w:pPr>
            <w:r>
              <w:rPr>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spacing w:before="0" w:after="120"/>
        <w:ind w:hanging="360" w:start="360" w:end="0"/>
        <w:rPr/>
      </w:pPr>
      <w:r>
        <w:rPr>
          <w:vertAlign w:val="superscript"/>
        </w:rPr>
        <w:t xml:space="preserve">(1) </w:t>
      </w:r>
      <w:r>
        <w:rPr/>
        <w:t xml:space="preserve"> Take-away from PG&amp;E at Kern River Station is 600 but is limited to 520 MMcfd by Line 225 capacity from KRS to Wheeler Ridge with 650 psig of pressure from PG&amp;E.</w:t>
      </w:r>
    </w:p>
    <w:p>
      <w:pPr>
        <w:pStyle w:val="Normal"/>
        <w:spacing w:before="0" w:after="120"/>
        <w:rPr/>
      </w:pPr>
      <w:r>
        <w:rPr>
          <w:vertAlign w:val="superscript"/>
        </w:rPr>
        <w:t>(2)</w:t>
      </w:r>
      <w:r>
        <w:rPr/>
        <w:t xml:space="preserve">  Kern/Mojave meter currently set to 500 MMcfd.</w:t>
      </w:r>
    </w:p>
    <w:p>
      <w:pPr>
        <w:pStyle w:val="Normal"/>
        <w:spacing w:before="0" w:after="120"/>
        <w:ind w:hanging="270" w:start="270" w:end="0"/>
        <w:rPr/>
      </w:pPr>
      <w:r>
        <w:rPr>
          <w:vertAlign w:val="superscript"/>
        </w:rPr>
        <w:t>(3)</w:t>
      </w:r>
      <w:r>
        <w:rPr/>
        <w:t xml:space="preserve">  Total SoCalGas take-away capacity of 680 MMcfd from PG&amp;E, Occidental and Kern/Mojave interconnects assumes minimum flow of 160 MMcfd from Kern/Mojave interconnect.</w:t>
      </w:r>
    </w:p>
    <w:p>
      <w:pPr>
        <w:pStyle w:val="Normal"/>
        <w:spacing w:before="0" w:after="120"/>
        <w:ind w:hanging="270" w:start="270" w:end="0"/>
        <w:rPr/>
      </w:pPr>
      <w:r>
        <w:rPr>
          <w:vertAlign w:val="superscript"/>
        </w:rPr>
        <w:t>(4)</w:t>
      </w:r>
      <w:r>
        <w:rPr/>
        <w:t xml:space="preserve">  Mojave's 400 MMcfd capacity is connected with SoCalGas at both Hector Road and Wheeler Ridge.  Insofar as Mojave is supplied out of El Paso's 2,230 MMcfd at Topock, Mojave capacity is not included as additional delivering pipeline capacity to avoid double-counting.</w:t>
      </w:r>
    </w:p>
    <w:p>
      <w:pPr>
        <w:pStyle w:val="Normal"/>
        <w:spacing w:before="0" w:after="120"/>
        <w:ind w:hanging="270" w:start="270" w:end="0"/>
        <w:rPr/>
      </w:pPr>
      <w:r>
        <w:rPr>
          <w:vertAlign w:val="superscript"/>
        </w:rPr>
        <w:t>(5)</w:t>
      </w:r>
      <w:r>
        <w:rPr/>
        <w:t xml:space="preserve">  340 MMcfd of Transwestern's 1,090 MMcfd is connected with SoCalGas at both North Needles or Topock.</w:t>
      </w:r>
    </w:p>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LA-1070989v1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Exhibit No. _______</w:t>
    </w:r>
  </w:p>
  <w:p>
    <w:pPr>
      <w:pStyle w:val="Header"/>
      <w:jc w:val="end"/>
      <w:rPr>
        <w:b/>
      </w:rPr>
    </w:pPr>
    <w:r>
      <w:rPr>
        <w:b/>
      </w:rPr>
      <w:t>I.99-07-003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center" w:pos="-2250" w:leader="none"/>
        <w:tab w:val="right" w:pos="6480" w:leader="none"/>
      </w:tabs>
      <w:rPr>
        <w:b/>
      </w:rPr>
    </w:pPr>
    <w:r>
      <w:rPr>
        <w:b/>
      </w:rPr>
      <w:tab/>
      <w:tab/>
      <w:t>Exhibit No. ________</w:t>
    </w:r>
  </w:p>
  <w:p>
    <w:pPr>
      <w:pStyle w:val="Header"/>
      <w:rPr>
        <w:b/>
      </w:rPr>
    </w:pPr>
    <w:r>
      <w:rPr>
        <w:b/>
      </w:rPr>
    </w:r>
  </w:p>
  <w:p>
    <w:pPr>
      <w:pStyle w:val="Header"/>
      <w:tabs>
        <w:tab w:val="clear" w:pos="4680"/>
        <w:tab w:val="clear" w:pos="9360"/>
        <w:tab w:val="center" w:pos="-2250" w:leader="none"/>
        <w:tab w:val="right" w:pos="6480" w:leader="none"/>
      </w:tabs>
      <w:rPr>
        <w:b/>
      </w:rPr>
    </w:pPr>
    <w:r>
      <w:rPr>
        <w:b/>
      </w:rPr>
      <w:tab/>
      <w:tab/>
      <w:t>I.99-007-003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kern w:val="2"/>
      <w:sz w:val="20"/>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z w:val="24"/>
    </w:rPr>
  </w:style>
  <w:style w:type="character" w:styleId="Strong">
    <w:name w:val="Strong"/>
    <w:basedOn w:val="DefaultParagraphFont"/>
    <w:qFormat/>
    <w:rPr>
      <w:rFonts w:ascii="Times New Roman" w:hAnsi="Times New Roman" w:cs="Times New Roman"/>
      <w:b/>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b/>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720" w:start="0" w:end="0"/>
    </w:pPr>
    <w:rPr/>
  </w:style>
  <w:style w:type="paragraph" w:styleId="BodyText3">
    <w:name w:val="Body Text 3"/>
    <w:basedOn w:val="Normal"/>
    <w:qFormat/>
    <w:pPr>
      <w:spacing w:lineRule="auto" w:line="36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EndnoteText">
    <w:name w:val="endnote text"/>
    <w:basedOn w:val="Normal"/>
    <w:pPr>
      <w:spacing w:before="0" w:after="120"/>
      <w:ind w:hanging="0" w:start="720" w:end="0"/>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outlineLvl w:val="0"/>
    </w:pPr>
    <w:rPr>
      <w:b/>
    </w:rPr>
  </w:style>
  <w:style w:type="paragraph" w:styleId="ListBullet">
    <w:name w:val="List Bullet"/>
    <w:basedOn w:val="Normal"/>
    <w:qFormat/>
    <w:pPr>
      <w:numPr>
        <w:ilvl w:val="0"/>
        <w:numId w:val="9"/>
      </w:numPr>
      <w:tabs>
        <w:tab w:val="left" w:pos="720" w:leader="none"/>
      </w:tabs>
      <w:ind w:hanging="720" w:start="720" w:end="0"/>
    </w:pPr>
    <w:rPr/>
  </w:style>
  <w:style w:type="paragraph" w:styleId="ListBullet21">
    <w:name w:val="List Bullet 21"/>
    <w:basedOn w:val="Normal"/>
    <w:qFormat/>
    <w:pPr>
      <w:numPr>
        <w:ilvl w:val="0"/>
        <w:numId w:val="7"/>
      </w:numPr>
      <w:tabs>
        <w:tab w:val="clear" w:pos="720"/>
      </w:tabs>
      <w:ind w:hanging="720" w:start="1440" w:end="0"/>
    </w:pPr>
    <w:rPr/>
  </w:style>
  <w:style w:type="paragraph" w:styleId="PlainText">
    <w:name w:val="Plain Text"/>
    <w:basedOn w:val="Normal"/>
    <w:qFormat/>
    <w:pPr/>
    <w:rPr>
      <w:sz w:val="20"/>
    </w:rPr>
  </w:style>
  <w:style w:type="paragraph" w:styleId="Signature">
    <w:name w:val="Signature"/>
    <w:basedOn w:val="Normal"/>
    <w:pPr>
      <w:tabs>
        <w:tab w:val="clear" w:pos="720"/>
        <w:tab w:val="right" w:pos="9360" w:leader="underscore"/>
      </w:tabs>
      <w:ind w:hanging="0" w:start="4680" w:end="0"/>
    </w:pPr>
    <w:rPr/>
  </w:style>
  <w:style w:type="paragraph" w:styleId="Subtitle">
    <w:name w:val="Subtitle"/>
    <w:basedOn w:val="Normal"/>
    <w:next w:val="BodyText"/>
    <w:qFormat/>
    <w:pPr>
      <w:keepNext w:val="true"/>
      <w:spacing w:before="0" w:after="240"/>
      <w:jc w:val="center"/>
    </w:pPr>
    <w:rPr>
      <w:b/>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360"/>
      <w:ind w:firstLine="1440" w:start="0" w:end="0"/>
    </w:pPr>
    <w:rPr/>
  </w:style>
  <w:style w:type="paragraph" w:styleId="Quote">
    <w:name w:val="Quote"/>
    <w:basedOn w:val="Normal"/>
    <w:next w:val="BodyText"/>
    <w:qFormat/>
    <w:pPr>
      <w:spacing w:before="0" w:after="240"/>
      <w:ind w:hanging="0" w:start="1440" w:end="144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6"/>
      </w:numPr>
      <w:tabs>
        <w:tab w:val="left" w:pos="720" w:leader="none"/>
      </w:tabs>
      <w:ind w:hanging="720" w:start="2160" w:end="0"/>
    </w:pPr>
    <w:rPr/>
  </w:style>
  <w:style w:type="paragraph" w:styleId="ListBullet41">
    <w:name w:val="List Bullet 41"/>
    <w:basedOn w:val="Normal"/>
    <w:qFormat/>
    <w:pPr>
      <w:numPr>
        <w:ilvl w:val="0"/>
        <w:numId w:val="5"/>
      </w:numPr>
      <w:tabs>
        <w:tab w:val="left" w:pos="720" w:leader="none"/>
      </w:tabs>
      <w:ind w:hanging="720" w:start="2880" w:end="0"/>
    </w:pPr>
    <w:rPr/>
  </w:style>
  <w:style w:type="paragraph" w:styleId="ListBullet51">
    <w:name w:val="List Bullet 51"/>
    <w:basedOn w:val="Normal"/>
    <w:qFormat/>
    <w:pPr>
      <w:numPr>
        <w:ilvl w:val="0"/>
        <w:numId w:val="4"/>
      </w:numPr>
      <w:tabs>
        <w:tab w:val="left" w:pos="720" w:leader="none"/>
      </w:tabs>
      <w:ind w:hanging="720" w:start="36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
    <w:name w:val="List Number"/>
    <w:basedOn w:val="Normal"/>
    <w:qFormat/>
    <w:pPr>
      <w:numPr>
        <w:ilvl w:val="0"/>
        <w:numId w:val="8"/>
      </w:numPr>
    </w:pPr>
    <w:rPr/>
  </w:style>
  <w:style w:type="paragraph" w:styleId="ListNumber2">
    <w:name w:val="List Number 2"/>
    <w:basedOn w:val="Normal"/>
    <w:qFormat/>
    <w:pPr>
      <w:numPr>
        <w:ilvl w:val="0"/>
        <w:numId w:val="3"/>
      </w:numPr>
    </w:pPr>
    <w:rPr/>
  </w:style>
  <w:style w:type="paragraph" w:styleId="ListNumber3">
    <w:name w:val="List Number 3"/>
    <w:basedOn w:val="Normal"/>
    <w:qFormat/>
    <w:pPr>
      <w:numPr>
        <w:ilvl w:val="0"/>
        <w:numId w:val="2"/>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2000-06-16T03:14:00Z</dcterms:created>
  <dc:creator>Registered User</dc:creator>
  <dc:description/>
  <dc:language>en-CA</dc:language>
  <cp:lastModifiedBy>Registered User</cp:lastModifiedBy>
  <cp:lastPrinted>2000-06-15T22:38:00Z</cp:lastPrinted>
  <dcterms:modified xsi:type="dcterms:W3CDTF">2000-06-16T03:14:00Z</dcterms:modified>
  <cp:revision>2</cp:revision>
  <dc:subject/>
  <dc:title>FIRM PIPELINE CAPACITY DELIVERING INTO SOUTHERN CALIFORNIA GAS COMPANY</dc:title>
</cp:coreProperties>
</file>