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center"/>
        <w:rPr/>
      </w:pPr>
      <w:r>
        <w:rPr/>
      </w:r>
    </w:p>
    <w:p>
      <w:pPr>
        <w:pStyle w:val="Normal"/>
        <w:jc w:val="center"/>
        <w:rPr/>
      </w:pPr>
      <w:r>
        <w:rPr/>
        <w:t>M E M O R A N D U M</w:t>
      </w:r>
    </w:p>
    <w:p>
      <w:pPr>
        <w:pStyle w:val="Normal"/>
        <w:rPr/>
      </w:pPr>
      <w:r>
        <w:rPr/>
      </w:r>
    </w:p>
    <w:p>
      <w:pPr>
        <w:pStyle w:val="Normal"/>
        <w:tabs>
          <w:tab w:val="left" w:pos="720" w:leader="none"/>
          <w:tab w:val="left" w:pos="1440" w:leader="none"/>
        </w:tabs>
        <w:ind w:hanging="1440" w:start="1440" w:end="0"/>
        <w:rPr/>
      </w:pPr>
      <w:r>
        <w:rPr/>
        <w:t>TO:</w:t>
        <w:tab/>
        <w:tab/>
        <w:t>Kay Mann</w:t>
      </w:r>
    </w:p>
    <w:p>
      <w:pPr>
        <w:pStyle w:val="Normal"/>
        <w:tabs>
          <w:tab w:val="left" w:pos="720" w:leader="none"/>
          <w:tab w:val="left" w:pos="1440" w:leader="none"/>
        </w:tabs>
        <w:ind w:hanging="1440" w:start="1440" w:end="0"/>
        <w:rPr/>
      </w:pPr>
      <w:r>
        <w:rPr/>
        <w:tab/>
        <w:tab/>
      </w:r>
      <w:r>
        <w:rPr>
          <w:i/>
        </w:rPr>
        <w:t>Enron North America Corp.</w:t>
      </w:r>
    </w:p>
    <w:p>
      <w:pPr>
        <w:pStyle w:val="Normal"/>
        <w:rPr>
          <w:i/>
          <w:i/>
        </w:rPr>
      </w:pPr>
      <w:r>
        <w:rPr>
          <w:i/>
        </w:rPr>
      </w:r>
    </w:p>
    <w:p>
      <w:pPr>
        <w:pStyle w:val="Normal"/>
        <w:tabs>
          <w:tab w:val="left" w:pos="720" w:leader="none"/>
          <w:tab w:val="left" w:pos="1440" w:leader="none"/>
        </w:tabs>
        <w:ind w:hanging="1440" w:start="1440" w:end="0"/>
        <w:rPr/>
      </w:pPr>
      <w:r>
        <w:rPr/>
        <w:t>FROM:</w:t>
        <w:tab/>
        <w:t>Scott Miller</w:t>
      </w:r>
    </w:p>
    <w:p>
      <w:pPr>
        <w:pStyle w:val="Normal"/>
        <w:tabs>
          <w:tab w:val="left" w:pos="720" w:leader="none"/>
          <w:tab w:val="left" w:pos="1440" w:leader="none"/>
        </w:tabs>
        <w:ind w:hanging="1440" w:start="1440" w:end="0"/>
        <w:rPr/>
      </w:pPr>
      <w:r>
        <w:rPr/>
        <w:tab/>
        <w:tab/>
      </w:r>
      <w:r>
        <w:rPr>
          <w:i/>
        </w:rPr>
        <w:t>Bracewell &amp; Patterson, L.L.P.</w:t>
      </w:r>
    </w:p>
    <w:p>
      <w:pPr>
        <w:pStyle w:val="Normal"/>
        <w:rPr>
          <w:i/>
          <w:i/>
        </w:rPr>
      </w:pPr>
      <w:r>
        <w:rPr>
          <w:i/>
        </w:rPr>
      </w:r>
    </w:p>
    <w:p>
      <w:pPr>
        <w:pStyle w:val="Normal"/>
        <w:tabs>
          <w:tab w:val="left" w:pos="720" w:leader="none"/>
          <w:tab w:val="left" w:pos="1440" w:leader="none"/>
        </w:tabs>
        <w:ind w:hanging="1440" w:start="1440" w:end="0"/>
        <w:rPr/>
      </w:pPr>
      <w:r>
        <w:rPr/>
        <w:t>DATE:</w:t>
        <w:tab/>
        <w:tab/>
        <w:t>June 28, 2001</w:t>
      </w:r>
    </w:p>
    <w:p>
      <w:pPr>
        <w:pStyle w:val="Normal"/>
        <w:rPr/>
      </w:pPr>
      <w:r>
        <w:rPr/>
      </w:r>
    </w:p>
    <w:p>
      <w:pPr>
        <w:pStyle w:val="Normal"/>
        <w:tabs>
          <w:tab w:val="left" w:pos="720" w:leader="none"/>
          <w:tab w:val="left" w:pos="1440" w:leader="none"/>
        </w:tabs>
        <w:ind w:hanging="1440" w:start="1440" w:end="720"/>
        <w:rPr/>
      </w:pPr>
      <w:r>
        <w:rPr/>
        <w:t>RE:</w:t>
        <w:tab/>
        <w:tab/>
        <w:t>Enovate, L.L.C. (formerly Midwest Energy Hub, L.L.C.) (“</w:t>
      </w:r>
      <w:r>
        <w:rPr>
          <w:u w:val="single"/>
        </w:rPr>
        <w:t>HUB</w:t>
      </w:r>
      <w:r>
        <w:rPr/>
        <w:t>”)</w:t>
      </w:r>
    </w:p>
    <w:p>
      <w:pPr>
        <w:pStyle w:val="Normal"/>
        <w:rPr/>
      </w:pPr>
      <w:r>
        <w:rPr/>
      </w:r>
    </w:p>
    <w:p>
      <w:pPr>
        <w:pStyle w:val="Normal"/>
        <w:rPr/>
      </w:pPr>
      <w:r>
        <w:rPr/>
        <w:t>At Cle Dade’s request, I have outlined below post-signing issues of which we are aware that remain to be addressed in connection with the HUB project.  Unless otherwise noted, all section references are to the Limited Liability Company Agreement of HUB dated April 26, 2000 (the “</w:t>
      </w:r>
      <w:r>
        <w:rPr>
          <w:u w:val="single"/>
        </w:rPr>
        <w:t>LLC Agreement</w:t>
      </w:r>
      <w:r>
        <w:rPr/>
        <w:t>”). Capitalized terms used, but not defined, herein shall have the meanings provided in the LLC Agreement.</w:t>
      </w:r>
    </w:p>
    <w:p>
      <w:pPr>
        <w:pStyle w:val="Normal"/>
        <w:rPr/>
      </w:pPr>
      <w:r>
        <w:rPr/>
      </w:r>
    </w:p>
    <w:p>
      <w:pPr>
        <w:pStyle w:val="Normal"/>
        <w:numPr>
          <w:ilvl w:val="0"/>
          <w:numId w:val="2"/>
        </w:numPr>
        <w:rPr/>
      </w:pPr>
      <w:r>
        <w:rPr/>
        <w:t xml:space="preserve">As HUB continues to expand its business, it needs to be qualified to conduct business in the states where it is necessary for HUB to qualify as a foreign corporation. </w:t>
      </w:r>
    </w:p>
    <w:p>
      <w:pPr>
        <w:pStyle w:val="Normal"/>
        <w:rPr/>
      </w:pPr>
      <w:r>
        <w:rPr/>
      </w:r>
    </w:p>
    <w:p>
      <w:pPr>
        <w:pStyle w:val="Normal"/>
        <w:numPr>
          <w:ilvl w:val="0"/>
          <w:numId w:val="2"/>
        </w:numPr>
        <w:rPr/>
      </w:pPr>
      <w:r>
        <w:rPr/>
        <w:t>Pursuant to Section 6.9, Enron MW, L.L.C. (“</w:t>
      </w:r>
      <w:r>
        <w:rPr>
          <w:u w:val="single"/>
        </w:rPr>
        <w:t>EMW</w:t>
      </w:r>
      <w:r>
        <w:rPr/>
        <w:t>”) was to appoint an individual as Commercial Development Manager.</w:t>
      </w:r>
    </w:p>
    <w:p>
      <w:pPr>
        <w:pStyle w:val="Normal"/>
        <w:rPr/>
      </w:pPr>
      <w:r>
        <w:rPr/>
      </w:r>
    </w:p>
    <w:p>
      <w:pPr>
        <w:pStyle w:val="Normal"/>
        <w:numPr>
          <w:ilvl w:val="0"/>
          <w:numId w:val="2"/>
        </w:numPr>
        <w:rPr/>
      </w:pPr>
      <w:r>
        <w:rPr/>
        <w:t>Pursuant to Section 6.10, EMW was to appoint an individual as Business Development Manager.</w:t>
      </w:r>
    </w:p>
    <w:p>
      <w:pPr>
        <w:pStyle w:val="Normal"/>
        <w:rPr/>
      </w:pPr>
      <w:r>
        <w:rPr/>
      </w:r>
    </w:p>
    <w:p>
      <w:pPr>
        <w:pStyle w:val="Normal"/>
        <w:numPr>
          <w:ilvl w:val="0"/>
          <w:numId w:val="2"/>
        </w:numPr>
        <w:rPr/>
      </w:pPr>
      <w:r>
        <w:rPr/>
        <w:t>Pursuant to Section 6.7.2(c), a memorandum outlining the provisions of the LLC Agreement related to Restricted Activities and the Purposes of the Company, together with such additional written information related to such provisions as the Members shall jointly approve, shall be distributed to each of the Member’s Restricted Affiliate’s applicable marketing representatives.</w:t>
      </w:r>
    </w:p>
    <w:p>
      <w:pPr>
        <w:pStyle w:val="Normal"/>
        <w:rPr/>
      </w:pPr>
      <w:r>
        <w:rPr/>
      </w:r>
    </w:p>
    <w:p>
      <w:pPr>
        <w:pStyle w:val="Normal"/>
        <w:numPr>
          <w:ilvl w:val="0"/>
          <w:numId w:val="2"/>
        </w:numPr>
        <w:rPr/>
      </w:pPr>
      <w:r>
        <w:rPr/>
        <w:t>The Risk Guidelines called for in Section 6.1.6 should have been adopted by the Board of Managers prior to HUB’s commencement of business operations.  If these have not been adopted, Section 11.1(viii) states that HUB can be dissolved at a Member’s election.  Section 6.1.6 also states that the Board of Managers shall promptly modify the Risk Procedures and Control Guidelines so as to keep them consistent with the internal procedures of Enron Corp.</w:t>
      </w:r>
    </w:p>
    <w:p>
      <w:pPr>
        <w:pStyle w:val="Normal"/>
        <w:rPr/>
      </w:pPr>
      <w:r>
        <w:rPr/>
      </w:r>
    </w:p>
    <w:p>
      <w:pPr>
        <w:pStyle w:val="Normal"/>
        <w:numPr>
          <w:ilvl w:val="0"/>
          <w:numId w:val="2"/>
        </w:numPr>
        <w:rPr/>
      </w:pPr>
      <w:r>
        <w:rPr/>
        <w:t>The HUB Agency Agreement should have been executed by June 25, 2000.  After execution it should have been submitted to the Illinois Commerce Commission and approved by such Commission before December 31, 2000. If the agreement was not executed or approved by the respective deadline, Section 11.1(ix) states that HUB can be dissolved at a Member’s election.</w:t>
      </w:r>
    </w:p>
    <w:p>
      <w:pPr>
        <w:pStyle w:val="Normal"/>
        <w:rPr/>
      </w:pPr>
      <w:r>
        <w:rPr/>
      </w:r>
    </w:p>
    <w:p>
      <w:pPr>
        <w:pStyle w:val="Normal"/>
        <w:numPr>
          <w:ilvl w:val="0"/>
          <w:numId w:val="2"/>
        </w:numPr>
        <w:rPr/>
      </w:pPr>
      <w:r>
        <w:rPr/>
        <w:t>The PERC Peaking Services Agreement should have been executed by August 1, 2000. If this agreement has not been executed, Section 11.1(x) states that HUB can be dissolved at a Member’s election.</w:t>
      </w:r>
    </w:p>
    <w:p>
      <w:pPr>
        <w:pStyle w:val="Normal"/>
        <w:rPr/>
      </w:pPr>
      <w:r>
        <w:rPr/>
      </w:r>
    </w:p>
    <w:p>
      <w:pPr>
        <w:pStyle w:val="Normal"/>
        <w:numPr>
          <w:ilvl w:val="0"/>
          <w:numId w:val="2"/>
        </w:numPr>
        <w:rPr/>
      </w:pPr>
      <w:r>
        <w:rPr/>
        <w:t xml:space="preserve">Section 6.7.2(d) calls for </w:t>
      </w:r>
      <w:r>
        <w:rPr>
          <w:u w:val="single"/>
        </w:rPr>
        <w:t>Schedule A</w:t>
      </w:r>
      <w:r>
        <w:rPr/>
        <w:t xml:space="preserve"> or </w:t>
      </w:r>
      <w:r>
        <w:rPr>
          <w:u w:val="single"/>
        </w:rPr>
        <w:t>Schedule B</w:t>
      </w:r>
      <w:r>
        <w:rPr/>
        <w:t>, whichever the case may be, to be finalized by June 25, 2000.  This schedule sets forth the list of Contracts that may be performed without violating the provisions relating to Restricted Activities set forth in Section 6.7.2. If this schedule has not been completed, Section 11.1(xv) states that HUB can be dissolved at a Member’s election.</w:t>
      </w:r>
    </w:p>
    <w:p>
      <w:pPr>
        <w:pStyle w:val="Normal"/>
        <w:rPr/>
      </w:pPr>
      <w:r>
        <w:rPr/>
      </w:r>
    </w:p>
    <w:p>
      <w:pPr>
        <w:pStyle w:val="Normal"/>
        <w:numPr>
          <w:ilvl w:val="0"/>
          <w:numId w:val="2"/>
        </w:numPr>
        <w:rPr/>
      </w:pPr>
      <w:r>
        <w:rPr/>
        <w:t>If HUB has made any acquisitions or mergers meeting the criteria set forth in Section 6.7.2(b), a New Agency Agreement should have been executed within 60 days after the corresponding Acquisition Effective Date.  If this agreement was required and not executed within the required deadline, Section 11.1(xix) states that HUB can be dissolved at EMW’s election.</w:t>
      </w:r>
    </w:p>
    <w:p>
      <w:pPr>
        <w:pStyle w:val="Normal"/>
        <w:rPr/>
      </w:pPr>
      <w:r>
        <w:rPr/>
      </w:r>
    </w:p>
    <w:p>
      <w:pPr>
        <w:pStyle w:val="Normal"/>
        <w:numPr>
          <w:ilvl w:val="0"/>
          <w:numId w:val="2"/>
        </w:numPr>
        <w:rPr/>
      </w:pPr>
      <w:r>
        <w:rPr/>
        <w:t>A confidentiality agreement needs to be prepared for execution by the employees of HUB.</w:t>
      </w:r>
    </w:p>
    <w:p>
      <w:pPr>
        <w:pStyle w:val="Normal"/>
        <w:rPr/>
      </w:pPr>
      <w:r>
        <w:rPr/>
      </w:r>
    </w:p>
    <w:p>
      <w:pPr>
        <w:pStyle w:val="Normal"/>
        <w:numPr>
          <w:ilvl w:val="0"/>
          <w:numId w:val="2"/>
        </w:numPr>
        <w:rPr/>
      </w:pPr>
      <w:r>
        <w:rPr/>
        <w:t>The Member Guaranty Agreement, for each Member, needs to be finalized.</w:t>
      </w:r>
    </w:p>
    <w:p>
      <w:pPr>
        <w:pStyle w:val="Normal"/>
        <w:rPr/>
      </w:pPr>
      <w:r>
        <w:rPr/>
      </w:r>
    </w:p>
    <w:p>
      <w:pPr>
        <w:pStyle w:val="Normal"/>
        <w:numPr>
          <w:ilvl w:val="0"/>
          <w:numId w:val="2"/>
        </w:numPr>
        <w:rPr/>
      </w:pPr>
      <w:r>
        <w:rPr/>
        <w:t>EMW, in its capacity as Managing Member, should be providing periodic written reports (at least monthly) pursuant to Section 6.1.3 comparing the actual results of HUB with the projections set forth in the Operating Budget.</w:t>
      </w:r>
    </w:p>
    <w:p>
      <w:pPr>
        <w:pStyle w:val="Normal"/>
        <w:rPr/>
      </w:pPr>
      <w:r>
        <w:rPr/>
      </w:r>
    </w:p>
    <w:p>
      <w:pPr>
        <w:pStyle w:val="Normal"/>
        <w:numPr>
          <w:ilvl w:val="0"/>
          <w:numId w:val="2"/>
        </w:numPr>
        <w:rPr/>
      </w:pPr>
      <w:r>
        <w:rPr/>
        <w:t>Pursuant to Section 6.1.7, an Operating Budget relating to marketing and operation plans for the next fiscal year should be proposed by the Board of Managers each year before August 1.  If an Operating Budget is not approved by the Board of Managers by September 30 of each year, then the provisions of Section 6.1.7 shall automatically set the terms of the Operating Budget.</w:t>
      </w:r>
    </w:p>
    <w:p>
      <w:pPr>
        <w:pStyle w:val="Normal"/>
        <w:rPr/>
      </w:pPr>
      <w:r>
        <w:rPr/>
      </w:r>
    </w:p>
    <w:p>
      <w:pPr>
        <w:pStyle w:val="Normal"/>
        <w:rPr/>
      </w:pPr>
      <w:r>
        <w:rPr/>
        <w:t>If you have any questions, or if I can be of any assistance in the completion of these tasks, please feel free to call me at (713) 221-1131.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SLM</w:t>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rPr>
      </w:pPr>
      <w:r>
        <w:rPr>
          <w:sz w:val="16"/>
        </w:rPr>
        <w:t>1304482v1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2001-07-03T15:49:00Z</dcterms:created>
  <dc:creator>Bracewell &amp; Patterson, LLP</dc:creator>
  <dc:description/>
  <dc:language>en-CA</dc:language>
  <cp:lastModifiedBy>Bracewell &amp; Patterson, LLP</cp:lastModifiedBy>
  <cp:lastPrinted>2001-06-29T16:08:00Z</cp:lastPrinted>
  <dcterms:modified xsi:type="dcterms:W3CDTF">2001-07-03T15:49:00Z</dcterms:modified>
  <cp:revision>2</cp:revision>
  <dc:subject/>
  <dc:title>M E M O R A N D U M</dc:title>
</cp:coreProperties>
</file>