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OPTION TO PURCHASE REAL ESTATE AND GRANT OF EASEMENT</w:t>
      </w:r>
    </w:p>
    <w:p>
      <w:pPr>
        <w:pStyle w:val="Heading"/>
        <w:jc w:val="start"/>
        <w:rPr/>
      </w:pPr>
      <w:r>
        <w:rPr/>
      </w:r>
    </w:p>
    <w:p>
      <w:pPr>
        <w:pStyle w:val="Heading"/>
        <w:tabs>
          <w:tab w:val="clear" w:pos="720"/>
          <w:tab w:val="left" w:pos="5760" w:leader="none"/>
        </w:tabs>
        <w:jc w:val="start"/>
        <w:rPr/>
      </w:pPr>
      <w:r>
        <w:rPr/>
        <w:t>VIRGIL AND JOAN LEDFORD</w:t>
        <w:tab/>
        <w:t xml:space="preserve">    OPTIONORS</w:t>
      </w:r>
    </w:p>
    <w:p>
      <w:pPr>
        <w:pStyle w:val="Heading"/>
        <w:tabs>
          <w:tab w:val="clear" w:pos="720"/>
          <w:tab w:val="left" w:pos="5760" w:leader="none"/>
        </w:tabs>
        <w:jc w:val="start"/>
        <w:rPr/>
      </w:pPr>
      <w:r>
        <w:rPr/>
        <w:t xml:space="preserve">             </w:t>
      </w:r>
      <w:r>
        <w:rPr/>
        <w:t>AND</w:t>
      </w:r>
    </w:p>
    <w:p>
      <w:pPr>
        <w:pStyle w:val="Heading"/>
        <w:tabs>
          <w:tab w:val="clear" w:pos="720"/>
          <w:tab w:val="left" w:pos="5760" w:leader="none"/>
        </w:tabs>
        <w:jc w:val="start"/>
        <w:rPr/>
      </w:pPr>
      <w:r>
        <w:rPr/>
        <w:t>STEVEN AND LYNN LEDFORD</w:t>
      </w:r>
    </w:p>
    <w:p>
      <w:pPr>
        <w:pStyle w:val="Heading"/>
        <w:tabs>
          <w:tab w:val="clear" w:pos="720"/>
          <w:tab w:val="left" w:pos="5760" w:leader="none"/>
        </w:tabs>
        <w:jc w:val="start"/>
        <w:rPr/>
      </w:pPr>
      <w:r>
        <w:rPr/>
      </w:r>
    </w:p>
    <w:p>
      <w:pPr>
        <w:pStyle w:val="Heading"/>
        <w:tabs>
          <w:tab w:val="clear" w:pos="720"/>
          <w:tab w:val="left" w:pos="5760" w:leader="none"/>
        </w:tabs>
        <w:jc w:val="start"/>
        <w:rPr/>
      </w:pPr>
      <w:r>
        <w:rPr/>
      </w:r>
    </w:p>
    <w:p>
      <w:pPr>
        <w:pStyle w:val="Heading"/>
        <w:tabs>
          <w:tab w:val="clear" w:pos="720"/>
          <w:tab w:val="left" w:pos="900" w:leader="none"/>
          <w:tab w:val="left" w:pos="6210" w:leader="none"/>
          <w:tab w:val="left" w:pos="6930" w:leader="none"/>
        </w:tabs>
        <w:jc w:val="start"/>
        <w:rPr/>
      </w:pPr>
      <w:r>
        <w:rPr/>
        <w:t>TITAN LAND DEVELOPMENT COMPANY, L.L.C.</w:t>
        <w:tab/>
        <w:t>OPTIONEE</w:t>
      </w:r>
    </w:p>
    <w:p>
      <w:pPr>
        <w:pStyle w:val="Heading"/>
        <w:tabs>
          <w:tab w:val="clear" w:pos="720"/>
          <w:tab w:val="left" w:pos="5760" w:leader="none"/>
        </w:tabs>
        <w:jc w:val="start"/>
        <w:rPr/>
      </w:pPr>
      <w:r>
        <w:rPr/>
      </w:r>
    </w:p>
    <w:p>
      <w:pPr>
        <w:pStyle w:val="Heading"/>
        <w:tabs>
          <w:tab w:val="clear" w:pos="720"/>
          <w:tab w:val="left" w:pos="5760" w:leader="none"/>
        </w:tabs>
        <w:rPr/>
      </w:pPr>
      <w:r>
        <w:rPr/>
        <w:t>______________, 2000</w:t>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1620" w:leader="none"/>
          <w:tab w:val="left" w:pos="5760" w:leader="none"/>
        </w:tabs>
        <w:jc w:val="both"/>
        <w:rPr/>
      </w:pPr>
      <w:r>
        <w:rPr/>
        <w:tab/>
      </w:r>
      <w:r>
        <w:br w:type="page"/>
      </w:r>
    </w:p>
    <w:p>
      <w:pPr>
        <w:pStyle w:val="Heading"/>
        <w:rPr/>
      </w:pPr>
      <w:r>
        <w:rPr/>
        <w:t>OPTION TO PURCHASE REAL ESTATE AND GRANT OF EASEMENT</w:t>
      </w:r>
    </w:p>
    <w:p>
      <w:pPr>
        <w:pStyle w:val="Normal"/>
        <w:widowControl/>
        <w:spacing w:before="360" w:after="0"/>
        <w:jc w:val="both"/>
        <w:rPr/>
      </w:pPr>
      <w:r>
        <w:rPr>
          <w:sz w:val="24"/>
        </w:rPr>
        <w:tab/>
      </w:r>
      <w:r>
        <w:rPr>
          <w:b/>
          <w:sz w:val="24"/>
        </w:rPr>
        <w:t>THIS OPTION TO PURCHASE REAL ESTATE</w:t>
      </w:r>
      <w:r>
        <w:rPr>
          <w:sz w:val="24"/>
        </w:rPr>
        <w:t xml:space="preserve"> (this "Option") is entered into by and between Virgil and Joan Ledford, husband and wife, and Steven and Lynn Ledford residents of the State of Illinois (hereinafter referred to as "Optionors") and Titan Land Development Company, L.L.C., a Delaware limited liability company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jc w:val="both"/>
        <w:rPr/>
      </w:pPr>
      <w:r>
        <w:rPr>
          <w:sz w:val="24"/>
        </w:rPr>
        <w:tab/>
      </w:r>
      <w:r>
        <w:rPr>
          <w:b/>
          <w:sz w:val="24"/>
        </w:rPr>
        <w:t>WHEREAS</w:t>
      </w:r>
      <w:r>
        <w:rPr>
          <w:sz w:val="24"/>
        </w:rPr>
        <w:t xml:space="preserve">, Optionors are the owners of real property situated in Livingston County, Illinois, more particularly described in </w:t>
      </w:r>
      <w:r>
        <w:rPr>
          <w:sz w:val="24"/>
          <w:u w:val="single"/>
        </w:rPr>
        <w:t>Exhibit A</w:t>
      </w:r>
      <w:r>
        <w:rPr>
          <w:sz w:val="24"/>
        </w:rPr>
        <w:t xml:space="preserve"> attached hereto and incorporated herein by this reference (the " Property"); and</w:t>
      </w:r>
    </w:p>
    <w:p>
      <w:pPr>
        <w:pStyle w:val="Normal"/>
        <w:widowControl/>
        <w:spacing w:before="120" w:after="0"/>
        <w:jc w:val="both"/>
        <w:rPr/>
      </w:pPr>
      <w:r>
        <w:rPr>
          <w:sz w:val="24"/>
        </w:rPr>
        <w:tab/>
      </w:r>
      <w:r>
        <w:rPr>
          <w:b/>
          <w:sz w:val="24"/>
        </w:rPr>
        <w:t>WHEREAS</w:t>
      </w:r>
      <w:r>
        <w:rPr>
          <w:sz w:val="24"/>
        </w:rPr>
        <w:t>, Optionors desire to grant to Optionee, and Optionee desires to obtain from Optionors, an option to purchase the Property; and</w:t>
      </w:r>
    </w:p>
    <w:p>
      <w:pPr>
        <w:pStyle w:val="Normal"/>
        <w:widowControl/>
        <w:spacing w:before="120" w:after="0"/>
        <w:jc w:val="both"/>
        <w:rPr/>
      </w:pPr>
      <w:r>
        <w:rPr>
          <w:sz w:val="24"/>
        </w:rPr>
        <w:tab/>
      </w:r>
      <w:r>
        <w:rPr>
          <w:b/>
          <w:sz w:val="24"/>
        </w:rPr>
        <w:t>WHEREAS</w:t>
      </w:r>
      <w:r>
        <w:rPr>
          <w:sz w:val="24"/>
        </w:rPr>
        <w:t xml:space="preserve">, Optionors desire to grant to Optionee, and Optionee desires to obtain from Optionors, an option for the grant of an easement for the installation of drain tiles, pipelines, and other utility uses across other property owned by Optionors (“Parcel 2”), as more particularly described in </w:t>
      </w:r>
      <w:r>
        <w:rPr>
          <w:sz w:val="24"/>
          <w:u w:val="single"/>
        </w:rPr>
        <w:t>Exhibit B</w:t>
      </w:r>
      <w:r>
        <w:rPr>
          <w:sz w:val="24"/>
        </w:rPr>
        <w:t xml:space="preserve"> attached hereto and incorporated herein by this reference (the "Easement"); </w:t>
      </w:r>
    </w:p>
    <w:p>
      <w:pPr>
        <w:pStyle w:val="Normal"/>
        <w:widowControl/>
        <w:spacing w:before="120" w:after="0"/>
        <w:jc w:val="both"/>
        <w:rPr/>
      </w:pPr>
      <w:r>
        <w:rPr>
          <w:sz w:val="24"/>
        </w:rPr>
        <w:tab/>
      </w:r>
      <w:r>
        <w:rPr>
          <w:b/>
          <w:sz w:val="24"/>
        </w:rPr>
        <w:t>NOW THEREFORE</w:t>
      </w:r>
      <w:r>
        <w:rPr>
          <w:sz w:val="24"/>
        </w:rPr>
        <w:t>, in consideration of the premises and for other good and valuable consideration, the receipt and sufficiency of which are hereby acknowledged, Optionors and Optionee hereby agree as follows:</w:t>
      </w:r>
    </w:p>
    <w:p>
      <w:pPr>
        <w:pStyle w:val="Normal"/>
        <w:keepNext w:val="true"/>
        <w:widowControl/>
        <w:spacing w:before="120" w:after="0"/>
        <w:rPr>
          <w:sz w:val="24"/>
        </w:rPr>
      </w:pPr>
      <w:r>
        <w:rPr>
          <w:sz w:val="24"/>
        </w:rPr>
        <w:tab/>
      </w:r>
      <w:r>
        <w:rPr>
          <w:b/>
          <w:sz w:val="24"/>
        </w:rPr>
        <w:t>1.</w:t>
        <w:tab/>
        <w:t>Grant of Option</w:t>
      </w:r>
    </w:p>
    <w:p>
      <w:pPr>
        <w:pStyle w:val="BodyText"/>
        <w:spacing w:before="120" w:after="0"/>
        <w:rPr/>
      </w:pPr>
      <w:r>
        <w:rPr/>
        <w:tab/>
        <w:t>Optionors, in consideration of $5,000.00 ("Option Consideration") duly paid by Optionee, agrees to grant the Easement and to sell and convey the Property to Optionee, its successors</w:t>
      </w:r>
      <w:ins w:id="0" w:author="kmann" w:date="2000-08-25T12:44:00Z">
        <w:r>
          <w:rPr/>
          <w:t>, designees</w:t>
        </w:r>
      </w:ins>
      <w:r>
        <w:rPr/>
        <w:t xml:space="preserve"> and assigns, upon Optionee's election to purchase the Property by giving notice as provided in Section 8 herein at any time before the Expiration Date, as defined in and determined under Section 10.  This Option shall constitute an obligation of Optionors and a right in and encumbrance upon the Property pursuant to the terms hereof.</w:t>
      </w:r>
    </w:p>
    <w:p>
      <w:pPr>
        <w:pStyle w:val="Normal"/>
        <w:keepNext w:val="true"/>
        <w:widowControl/>
        <w:spacing w:before="120" w:after="0"/>
        <w:rPr>
          <w:sz w:val="24"/>
        </w:rPr>
      </w:pPr>
      <w:r>
        <w:rPr>
          <w:sz w:val="24"/>
        </w:rPr>
        <w:tab/>
      </w:r>
      <w:r>
        <w:rPr>
          <w:b/>
          <w:sz w:val="24"/>
        </w:rPr>
        <w:t>2.</w:t>
        <w:tab/>
        <w:t>Purchase Price</w:t>
      </w:r>
    </w:p>
    <w:p>
      <w:pPr>
        <w:pStyle w:val="Normal"/>
        <w:widowControl/>
        <w:spacing w:before="120" w:after="0"/>
        <w:jc w:val="both"/>
        <w:rPr/>
      </w:pPr>
      <w:r>
        <w:rPr>
          <w:sz w:val="24"/>
        </w:rPr>
        <w:tab/>
        <w:t xml:space="preserve">If Optionee elects to exercise its option to purchase the Property, the purchase price shall be </w:t>
      </w:r>
      <w:ins w:id="1" w:author="kmann" w:date="2000-08-25T12:44:00Z">
        <w:r>
          <w:rPr>
            <w:sz w:val="24"/>
          </w:rPr>
          <w:t xml:space="preserve">firm at </w:t>
        </w:r>
      </w:ins>
      <w:r>
        <w:rPr>
          <w:sz w:val="24"/>
        </w:rPr>
        <w:t xml:space="preserve">$265,000 (the "Purchase Price").  The Purchase Price is the sum of:  (a) $240,000 representing payment for the purchase of the Property and (b) $25,000 representing payment for the grant of Easement.  No Option Consideration nor Option Renewal Consideration may be credited against the Purchase Price.  </w:t>
      </w:r>
    </w:p>
    <w:p>
      <w:pPr>
        <w:pStyle w:val="Normal"/>
        <w:keepNext w:val="true"/>
        <w:widowControl/>
        <w:spacing w:before="120" w:after="0"/>
        <w:rPr>
          <w:sz w:val="24"/>
        </w:rPr>
      </w:pPr>
      <w:r>
        <w:rPr>
          <w:sz w:val="24"/>
        </w:rPr>
        <w:tab/>
      </w:r>
      <w:r>
        <w:rPr>
          <w:b/>
          <w:sz w:val="24"/>
        </w:rPr>
        <w:t>3.</w:t>
        <w:tab/>
        <w:t>Conveyance</w:t>
      </w:r>
    </w:p>
    <w:p>
      <w:pPr>
        <w:pStyle w:val="BodyText"/>
        <w:spacing w:before="120" w:after="0"/>
        <w:rPr/>
      </w:pPr>
      <w:r>
        <w:rPr/>
        <w:tab/>
        <w:t>Within six (6) months of the date of this Option, Optionors shall deliver to Optionee an itemized written list of those buildings and appurtenances identified in Exhibit C herein that Optionors desire to remove from the Property prior to closing.  Upon Optionee's notice, Optionors shall execute, acknowledge and deliver to Optionee, at closing, a good and sufficient general warranty deed in form acceptable to Optionee conveying indefeasible fee simple title to the Property and all buildings and improvements thereon, except as may be excluded in this Section 3, free and clear of all liens, encumbrances and other defects in title;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17.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Optionors are unable to remove or to make provision for the removal of such defects raised by Optionee to the reasonable satisfaction of Optionee on or before Closing, Optionee shall have the right to rescind this Option (and the exercise thereof). All ad valorem taxes and special assessments on the Prop</w:t>
        <w:softHyphen/>
        <w:t xml:space="preserve">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shall satisfy all taxes and special assessments for all calendar years prior to the calendar year of Closing.  </w:t>
      </w:r>
    </w:p>
    <w:p>
      <w:pPr>
        <w:pStyle w:val="1Paragraph"/>
        <w:ind w:hanging="0" w:start="0" w:end="0"/>
        <w:rPr>
          <w:rFonts w:ascii="Times New Roman" w:hAnsi="Times New Roman" w:cs="Times New Roman"/>
        </w:rPr>
      </w:pPr>
      <w:r>
        <w:rPr>
          <w:rFonts w:cs="Times New Roman" w:ascii="Times New Roman" w:hAnsi="Times New Roman"/>
        </w:rPr>
      </w:r>
    </w:p>
    <w:p>
      <w:pPr>
        <w:pStyle w:val="1Paragraph"/>
        <w:ind w:hanging="0" w:start="0" w:end="0"/>
        <w:rPr>
          <w:rFonts w:ascii="Times New Roman" w:hAnsi="Times New Roman" w:cs="Times New Roman"/>
        </w:rPr>
      </w:pPr>
      <w:r>
        <w:rPr>
          <w:rFonts w:cs="Times New Roman" w:ascii="Times New Roman" w:hAnsi="Times New Roman"/>
        </w:rPr>
        <w:tab/>
        <w:t>Optionors shall execute, acknowledge and deliver to Optionee, at closing, a perpetual non-exclusive easement in, over, under, upon and across the Easement area in order to (a) install, construct, reconstruct, operate, use, maintain, repair, relocate, replace, rebuild, or enlarge drain tiles and pipelines to be used for draining surface or discharge water from Optionee’s facilities and transmission of gas through “pipeline” located within the Easement; and, (b) to gain access, ingress and egress at, to, over and upon those specifically identified points of entry and the entire easement parcel as granted by Optionors over and across Parcel 2 for any or all of the purposes specified in clause (a) above.  Optionee’s use of the Easement shall be subject to compliance by Optionee with all applicable laws, ordinances, rules and regulations of governmental authorities exercising jurisdiction over the Easement parcel, including, without limitation, environmental and land use laws, ordinances, rules and regulations.</w:t>
      </w:r>
    </w:p>
    <w:p>
      <w:pPr>
        <w:pStyle w:val="BodyText"/>
        <w:spacing w:before="120" w:after="0"/>
        <w:ind w:firstLine="720" w:end="0"/>
        <w:rPr/>
      </w:pPr>
      <w:r>
        <w:rPr/>
        <w:t>Closing shall occur within ninety (90) days after notice of exercise and shall take place at the office of the title company.  Optionee shall obtain, at its sole cost and expense, the Title Policy for the Property.  Optionee shall have the right, at its sole cost and expense, to cause the survey to be prepared by the surveyor of its choice and delivered to Optionor and the Title Company prior to Closing.  Optionee shall pay for all transfer fees associated with the Closing.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keepNext w:val="true"/>
        <w:widowControl/>
        <w:spacing w:before="120" w:after="0"/>
        <w:rPr>
          <w:sz w:val="24"/>
        </w:rPr>
      </w:pPr>
      <w:r>
        <w:rPr>
          <w:sz w:val="24"/>
        </w:rPr>
        <w:tab/>
      </w:r>
      <w:r>
        <w:rPr>
          <w:b/>
          <w:sz w:val="24"/>
        </w:rPr>
        <w:t>4.</w:t>
        <w:tab/>
        <w:t>Easements</w:t>
      </w:r>
    </w:p>
    <w:p>
      <w:pPr>
        <w:pStyle w:val="Normal"/>
        <w:widowControl/>
        <w:spacing w:before="120" w:after="0"/>
        <w:jc w:val="both"/>
        <w:rPr>
          <w:sz w:val="24"/>
        </w:rPr>
      </w:pPr>
      <w:r>
        <w:rPr>
          <w:sz w:val="24"/>
        </w:rPr>
        <w:tab/>
        <w:t>If at the time of conveyance of the Property to Optionee, Optionee determines in its sole discretion that it is desirable to obtain easements over property owned by Optionors, Optionors shall grant the necessary easements to Optionee for no additional consideration.  In selecting the property for the easements, Optionee agrees to use its reasonable efforts to minimize interference with any of the Property then in active agricultural cultivation.</w:t>
      </w:r>
    </w:p>
    <w:p>
      <w:pPr>
        <w:pStyle w:val="Normal"/>
        <w:keepNext w:val="true"/>
        <w:widowControl/>
        <w:spacing w:before="120" w:after="0"/>
        <w:rPr>
          <w:sz w:val="24"/>
        </w:rPr>
      </w:pPr>
      <w:r>
        <w:rPr>
          <w:sz w:val="24"/>
        </w:rPr>
        <w:tab/>
      </w:r>
      <w:r>
        <w:rPr>
          <w:b/>
          <w:sz w:val="24"/>
        </w:rPr>
        <w:t>5.</w:t>
        <w:tab/>
        <w:t>Damage to Property</w:t>
      </w:r>
    </w:p>
    <w:p>
      <w:pPr>
        <w:pStyle w:val="Normal"/>
        <w:widowControl/>
        <w:spacing w:before="120" w:after="0"/>
        <w:jc w:val="both"/>
        <w:rPr>
          <w:sz w:val="24"/>
        </w:rPr>
      </w:pPr>
      <w:r>
        <w:rPr>
          <w:sz w:val="24"/>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widowControl/>
        <w:spacing w:before="120" w:after="0"/>
        <w:jc w:val="both"/>
        <w:rPr>
          <w:b/>
          <w:sz w:val="24"/>
        </w:rPr>
      </w:pPr>
      <w:r>
        <w:rPr>
          <w:b/>
          <w:sz w:val="24"/>
        </w:rPr>
      </w:r>
    </w:p>
    <w:p>
      <w:pPr>
        <w:pStyle w:val="Normal"/>
        <w:numPr>
          <w:ilvl w:val="0"/>
          <w:numId w:val="2"/>
        </w:numPr>
        <w:rPr>
          <w:b/>
          <w:sz w:val="24"/>
        </w:rPr>
      </w:pPr>
      <w:r>
        <w:rPr>
          <w:b/>
          <w:sz w:val="24"/>
        </w:rPr>
        <w:t>No Encumbrance of Property</w:t>
      </w:r>
    </w:p>
    <w:p>
      <w:pPr>
        <w:pStyle w:val="Normal"/>
        <w:ind w:start="720" w:end="0"/>
        <w:rPr>
          <w:b/>
          <w:sz w:val="24"/>
        </w:rPr>
      </w:pPr>
      <w:r>
        <w:rPr>
          <w:b/>
          <w:sz w:val="24"/>
        </w:rPr>
      </w:r>
    </w:p>
    <w:p>
      <w:pPr>
        <w:pStyle w:val="BodyTextIndent"/>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spacing w:before="0" w:after="0"/>
        <w:jc w:val="both"/>
        <w:rPr>
          <w:b/>
        </w:rPr>
      </w:pPr>
      <w:r>
        <w:rPr/>
        <w:t>The parties agree that Optionors will not convey an interest in or otherwise encumber the Property or the Easement area during the term of this Option (as extended pursuant to the terms hereof).</w:t>
      </w:r>
    </w:p>
    <w:p>
      <w:pPr>
        <w:pStyle w:val="Normal"/>
        <w:keepNext w:val="true"/>
        <w:widowControl/>
        <w:spacing w:before="120" w:after="0"/>
        <w:rPr>
          <w:sz w:val="24"/>
        </w:rPr>
      </w:pPr>
      <w:r>
        <w:rPr>
          <w:b/>
          <w:sz w:val="24"/>
        </w:rPr>
        <w:tab/>
        <w:t>7.</w:t>
        <w:tab/>
        <w:t>Due Diligence</w:t>
      </w:r>
    </w:p>
    <w:p>
      <w:pPr>
        <w:pStyle w:val="BodyText"/>
        <w:spacing w:before="120" w:after="0"/>
        <w:rPr/>
      </w:pPr>
      <w:r>
        <w:rPr/>
        <w:tab/>
        <w:t>After the date hereof, Optionee (or any agent or representative of Optionee) shall have the right to enter upon the Property and the Easement area with</w:t>
      </w:r>
      <w:del w:id="2" w:author="kmann" w:date="2000-08-30T08:59:00Z">
        <w:r>
          <w:rPr/>
          <w:delText>out</w:delText>
        </w:r>
      </w:del>
      <w:r>
        <w:rPr/>
        <w:t xml:space="preserve"> prior permission of at least one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w:t>
      </w:r>
    </w:p>
    <w:p>
      <w:pPr>
        <w:pStyle w:val="Normal"/>
        <w:widowControl/>
        <w:spacing w:before="120" w:after="0"/>
        <w:jc w:val="both"/>
        <w:rPr>
          <w:sz w:val="24"/>
        </w:rPr>
      </w:pPr>
      <w:r>
        <w:rPr>
          <w:sz w:val="24"/>
        </w:rPr>
        <w:tab/>
        <w:t>The following items relating to the Property (the "Review Materials") shall be provided by Optionors to Optionee within seven (7)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reasonably requested by Optionee.</w:t>
      </w:r>
    </w:p>
    <w:p>
      <w:pPr>
        <w:pStyle w:val="Normal"/>
        <w:widowControl/>
        <w:spacing w:before="120" w:after="0"/>
        <w:jc w:val="both"/>
        <w:rPr>
          <w:sz w:val="24"/>
        </w:rPr>
      </w:pPr>
      <w:r>
        <w:rPr>
          <w:sz w:val="24"/>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p>
    <w:p>
      <w:pPr>
        <w:pStyle w:val="Normal"/>
        <w:keepNext w:val="true"/>
        <w:widowControl/>
        <w:spacing w:before="120" w:after="0"/>
        <w:rPr>
          <w:sz w:val="24"/>
        </w:rPr>
      </w:pPr>
      <w:r>
        <w:rPr>
          <w:sz w:val="24"/>
        </w:rPr>
        <w:tab/>
      </w:r>
      <w:r>
        <w:rPr>
          <w:b/>
          <w:sz w:val="24"/>
        </w:rPr>
        <w:t>8.</w:t>
        <w:tab/>
        <w:t>Notice of Exercise</w:t>
      </w:r>
    </w:p>
    <w:p>
      <w:pPr>
        <w:pStyle w:val="Normal"/>
        <w:widowControl/>
        <w:spacing w:before="120" w:after="0"/>
        <w:jc w:val="both"/>
        <w:rPr>
          <w:sz w:val="24"/>
        </w:rPr>
      </w:pPr>
      <w:r>
        <w:rPr>
          <w:sz w:val="24"/>
        </w:rPr>
        <w:tab/>
        <w:t>Notice of exercise of the Option shall be given in accordance with this Section 8. Any notice or communication required or permitted hereunder shall be given in writing, sent by (a) personal delivery (b) delivery service with proof of delivery, or (c) United States mail, postage prepaid, registered or certified mail, or (d) overnight courier service, or (e) telecopy addressed as follows:</w:t>
      </w:r>
    </w:p>
    <w:p>
      <w:pPr>
        <w:pStyle w:val="Heading2"/>
        <w:keepLines w:val="false"/>
        <w:rPr/>
      </w:pPr>
      <w:r>
        <w:rPr/>
        <w:t>If to Optionors, to:</w:t>
        <w:tab/>
        <w:t>Virgil and Joan Ledford</w:t>
      </w:r>
    </w:p>
    <w:p>
      <w:pPr>
        <w:pStyle w:val="Normal"/>
        <w:rPr/>
      </w:pPr>
      <w:r>
        <w:rPr/>
        <w:tab/>
        <w:tab/>
        <w:tab/>
        <w:tab/>
        <w:tab/>
        <w:tab/>
      </w:r>
      <w:r>
        <w:rPr>
          <w:sz w:val="24"/>
        </w:rPr>
        <w:t>Steven and Lynn Ledford</w:t>
      </w:r>
    </w:p>
    <w:p>
      <w:pPr>
        <w:pStyle w:val="Normal"/>
        <w:rPr/>
      </w:pPr>
      <w:r>
        <w:rPr/>
        <w:tab/>
        <w:tab/>
        <w:tab/>
        <w:tab/>
        <w:tab/>
        <w:tab/>
      </w:r>
      <w:r>
        <w:rPr>
          <w:sz w:val="24"/>
        </w:rPr>
        <w:t>13892 North 1500 East Road</w:t>
      </w:r>
    </w:p>
    <w:p>
      <w:pPr>
        <w:pStyle w:val="Heading6"/>
        <w:rPr/>
      </w:pPr>
      <w:r>
        <w:rPr/>
        <w:t>Pontiac, IL 61764</w:t>
      </w:r>
    </w:p>
    <w:p>
      <w:pPr>
        <w:pStyle w:val="Footer"/>
        <w:tabs>
          <w:tab w:val="clear" w:pos="4320"/>
          <w:tab w:val="clear" w:pos="8640"/>
        </w:tabs>
        <w:rPr/>
      </w:pPr>
      <w:r>
        <w:rPr/>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ind w:start="1440" w:end="0"/>
        <w:rPr>
          <w:sz w:val="24"/>
        </w:rPr>
      </w:pPr>
      <w:r>
        <w:rPr>
          <w:sz w:val="24"/>
        </w:rPr>
        <w:t>If to Optionee, to:</w:t>
        <w:tab/>
        <w:t>Titan Land Development Company, L.L.C.</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c/o Piper Marbury Rudnick &amp; Wolfe</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203 N. LaSalle St., Suite 1500</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Chicago, IL  60601</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Attn:  Donald A. Shindler</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Fax:  (312) 236-7516</w:t>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 xml:space="preserve">Notice of exercise of the Option shall be deemed to have been given in the event that the Triggering Event (as defined herein) shall occur.  The "Triggering Event" shall occur upon Optionee or its agents, assigns, affiliates pouring a concrete foundation for the purposes of constructing an electric generation facility (“the Project”) on the real property located adjacent to the Land and being more particularly described on </w:t>
      </w:r>
      <w:r>
        <w:rPr>
          <w:sz w:val="24"/>
          <w:u w:val="single"/>
        </w:rPr>
        <w:t>Exhibit "D"</w:t>
      </w:r>
      <w:r>
        <w:rPr>
          <w:sz w:val="24"/>
        </w:rPr>
        <w:t xml:space="preserve"> prior to the Expiration Date.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9.</w:t>
        <w:tab/>
        <w:t>Restriction on Sale</w:t>
      </w:r>
    </w:p>
    <w:p>
      <w:pPr>
        <w:pStyle w:val="Normal"/>
        <w:widowControl/>
        <w:spacing w:before="120" w:after="0"/>
        <w:jc w:val="both"/>
        <w:rPr>
          <w:sz w:val="24"/>
        </w:rPr>
      </w:pPr>
      <w:r>
        <w:rPr>
          <w:sz w:val="24"/>
        </w:rPr>
        <w:tab/>
        <w:t>Optionors agrees not to sell or offer for sale the Property or any interest therein to anyone other than Optionee during the term of this Option, or any renewal or extension hereof.  Optionors agree not to grant an easement over, sell or offer for sale the Easement area to anyone other than Optionee during the term of this Option, or any renewal or extension hereof.</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10.</w:t>
        <w:tab/>
        <w:t>Renewal</w:t>
      </w:r>
    </w:p>
    <w:p>
      <w:pPr>
        <w:pStyle w:val="Normal"/>
        <w:widowControl/>
        <w:spacing w:before="120" w:after="0"/>
        <w:jc w:val="both"/>
        <w:rPr/>
      </w:pPr>
      <w:r>
        <w:rPr>
          <w:sz w:val="24"/>
        </w:rPr>
        <w:tab/>
        <w:t>The expiration date of the Option shall be eighteen months (18) months after the date of execution hereof (the "Expiration Date").  Upon the payment</w:t>
      </w:r>
      <w:r>
        <w:rPr>
          <w:i/>
          <w:sz w:val="24"/>
        </w:rPr>
        <w:t xml:space="preserve"> </w:t>
      </w:r>
      <w:r>
        <w:rPr>
          <w:sz w:val="24"/>
        </w:rPr>
        <w:t xml:space="preserve">of an option renewal consideration of $5,000.00 (“Option Renewal Consideration”)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11.</w:t>
        <w:tab/>
        <w:t>Assignment</w:t>
      </w:r>
    </w:p>
    <w:p>
      <w:pPr>
        <w:pStyle w:val="Normal"/>
        <w:widowControl/>
        <w:spacing w:before="120" w:after="0"/>
        <w:jc w:val="both"/>
        <w:rPr>
          <w:sz w:val="24"/>
        </w:rPr>
      </w:pPr>
      <w:r>
        <w:rPr>
          <w:sz w:val="24"/>
        </w:rPr>
        <w:tab/>
        <w:t>Optionee may assign this Option in its sole and absolute discretion, and upon any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assignment contemplated in this Section. From and after any such assignment, the term "Optionee" shall refer to such assignee.</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12.</w:t>
        <w:tab/>
        <w:t>Expenses</w:t>
      </w:r>
    </w:p>
    <w:p>
      <w:pPr>
        <w:pStyle w:val="Normal"/>
        <w:widowControl/>
        <w:spacing w:before="120" w:after="0"/>
        <w:jc w:val="both"/>
        <w:rPr>
          <w:sz w:val="24"/>
        </w:rPr>
      </w:pPr>
      <w:r>
        <w:rPr>
          <w:sz w:val="24"/>
        </w:rPr>
        <w:tab/>
        <w:t>Each party hereto shall bear any and all of its own expenses in connection with the negotiation, execution or settlement of this Option.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13.</w:t>
        <w:tab/>
        <w:t>Entire Agreement</w:t>
      </w:r>
    </w:p>
    <w:p>
      <w:pPr>
        <w:pStyle w:val="Normal"/>
        <w:widowControl/>
        <w:spacing w:before="120" w:after="0"/>
        <w:jc w:val="both"/>
        <w:rPr>
          <w:sz w:val="24"/>
        </w:rPr>
      </w:pPr>
      <w:r>
        <w:rPr>
          <w:sz w:val="24"/>
        </w:rPr>
        <w:tab/>
        <w:t>This Option contains the entire agreement between the parties hereto and no modification or amendment shall be binding upon any party unless made in writing and signed by each of the parties hereto.</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14.</w:t>
        <w:tab/>
        <w:t>Governing Law</w:t>
      </w:r>
    </w:p>
    <w:p>
      <w:pPr>
        <w:pStyle w:val="Normal"/>
        <w:widowControl/>
        <w:spacing w:before="120" w:after="0"/>
        <w:jc w:val="both"/>
        <w:rPr>
          <w:sz w:val="24"/>
        </w:rPr>
      </w:pPr>
      <w:r>
        <w:rPr>
          <w:sz w:val="24"/>
        </w:rPr>
        <w:tab/>
        <w:t>This Option and the rights and obligations of the parties hereto shall be construed in accordance with the laws of the State of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15.</w:t>
        <w:tab/>
        <w:t>Recording</w:t>
      </w:r>
    </w:p>
    <w:p>
      <w:pPr>
        <w:pStyle w:val="Normal"/>
        <w:widowControl/>
        <w:spacing w:before="120" w:after="0"/>
        <w:jc w:val="both"/>
        <w:rPr/>
      </w:pPr>
      <w:r>
        <w:rPr>
          <w:b/>
          <w:sz w:val="24"/>
        </w:rPr>
        <w:tab/>
      </w:r>
      <w:r>
        <w:rPr>
          <w:sz w:val="24"/>
        </w:rPr>
        <w:t>Optionee shall have the right, at its sole discretion, to record a memorandum of this Option (which Optionors agree to execute) in the office of the Recorder of Deeds of Livingston County,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ab/>
        <w:t>16.</w:t>
        <w:tab/>
        <w:t>Representations, Covenants and Warranties of Optionors</w:t>
      </w:r>
    </w:p>
    <w:p>
      <w:pPr>
        <w:pStyle w:val="Normal"/>
        <w:widowControl/>
        <w:spacing w:before="120" w:after="0"/>
        <w:jc w:val="both"/>
        <w:rPr>
          <w:sz w:val="24"/>
        </w:rPr>
      </w:pPr>
      <w:r>
        <w:rPr>
          <w:sz w:val="24"/>
        </w:rPr>
        <w:tab/>
        <w:t>Optionors represent and warrant to Optionee, both as of the effective date hereof and as of the date of Closing, as follows:</w:t>
      </w:r>
    </w:p>
    <w:p>
      <w:pPr>
        <w:pStyle w:val="Normal"/>
        <w:widowControl/>
        <w:spacing w:before="120" w:after="0"/>
        <w:ind w:hanging="720" w:start="1440" w:end="0"/>
        <w:jc w:val="both"/>
        <w:rPr>
          <w:sz w:val="24"/>
        </w:rPr>
      </w:pPr>
      <w:r>
        <w:rPr>
          <w:sz w:val="24"/>
        </w:rPr>
        <w:t>(a)</w:t>
        <w:tab/>
        <w:t>Optionors are the owners in fee simple of the Property and Parcel 2 and have full and absolute authority to option and sell the same as set forth herein, and no person or entity other than Optionee has any right or option to acquire the Property or Parcel 2;</w:t>
      </w:r>
    </w:p>
    <w:p>
      <w:pPr>
        <w:pStyle w:val="Normal"/>
        <w:widowControl/>
        <w:spacing w:before="120" w:after="0"/>
        <w:ind w:hanging="720" w:start="1440" w:end="0"/>
        <w:jc w:val="both"/>
        <w:rPr>
          <w:sz w:val="24"/>
        </w:rPr>
      </w:pPr>
      <w:r>
        <w:rPr>
          <w:sz w:val="24"/>
        </w:rPr>
        <w:t>(b)</w:t>
        <w:tab/>
        <w:t>The Property and Parcel 2 are free, clear, unrestricted and unencumbered, except for any matters affecting the Property and Parcel 2 which are recorded in the land records of Livingston County, Illinois as of the effective date hereof; and the Permitted Exceptions referenced in Section 3 above.</w:t>
      </w:r>
    </w:p>
    <w:p>
      <w:pPr>
        <w:pStyle w:val="BodyText2"/>
        <w:spacing w:before="120" w:after="0"/>
        <w:rPr/>
      </w:pPr>
      <w:r>
        <w:rPr/>
        <w:t>(c)</w:t>
        <w:tab/>
        <w:t>Optionors will not convey an interest in or otherwise encumber the Property or Parcel 2 during the term of this Option (as extended pursuant to the terms hereof).</w:t>
      </w:r>
    </w:p>
    <w:p>
      <w:pPr>
        <w:pStyle w:val="BodyTextIndent3"/>
        <w:widowControl/>
        <w:tabs>
          <w:tab w:val="clear" w:pos="0"/>
          <w:tab w:val="left" w:pos="-720" w:leader="none"/>
        </w:tabs>
        <w:suppressAutoHyphens w:val="false"/>
        <w:rPr>
          <w:spacing w:val="0"/>
        </w:rPr>
      </w:pPr>
      <w:r>
        <w:rPr>
          <w:spacing w:val="0"/>
        </w:rPr>
        <w:t>(d)</w:t>
        <w:tab/>
        <w:t>There are no pending actions, suits, arbitrations, claims or proceedings, at law or in equity, affecting all or any portion of the Property or Parcel 2 or Optionors or in which Optionors are a party by reason of the ownership, use, operation or leasing of the Property or Parcel 2,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Parcel 2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or Parcel 2.  No unsatisfied judgments or decrees have been entered against Optionors which have affected or might potentially affect the Property or Parcel 2.  Neither the Optionors nor the Property or Parcel 2 is operating under or subject to any order, writ, injunction, decree, or judgment of any arbitrator or authority, other than land use approvals.  Neither the Optionors nor the Property nor Parcel 2 is in default with respect to any order, writ, injunction, decree or judgment of any arbitrator or authority;</w:t>
      </w:r>
    </w:p>
    <w:p>
      <w:pPr>
        <w:pStyle w:val="Normal"/>
        <w:widowControl/>
        <w:spacing w:before="120" w:after="0"/>
        <w:ind w:hanging="720" w:start="1440" w:end="0"/>
        <w:jc w:val="both"/>
        <w:rPr>
          <w:sz w:val="24"/>
        </w:rPr>
      </w:pPr>
      <w:r>
        <w:rPr>
          <w:sz w:val="24"/>
        </w:rPr>
        <w:t>(e)</w:t>
        <w:tab/>
        <w:t>There is no actual or threatened full or partial condemna</w:t>
        <w:softHyphen/>
        <w:t>tion of the Property or Parcel 2;</w:t>
      </w:r>
    </w:p>
    <w:p>
      <w:pPr>
        <w:pStyle w:val="Normal"/>
        <w:widowControl/>
        <w:spacing w:before="120" w:after="0"/>
        <w:ind w:hanging="720" w:start="1440" w:end="0"/>
        <w:jc w:val="both"/>
        <w:rPr>
          <w:sz w:val="24"/>
        </w:rPr>
      </w:pPr>
      <w:r>
        <w:rPr>
          <w:sz w:val="24"/>
        </w:rPr>
        <w:t>(f)</w:t>
        <w:tab/>
        <w:t>All bills and claims for labor performed or materials furnished to Optionors for the benefit of the Property or Parcel 2 for the period prior to the Closing have been (or prior to the Closing will be) paid in full and there are (and on the Closing will be) no mechanic's liens or materialmen's liens (whether or not perfected) on or affecting the Property or Parcel 2;</w:t>
      </w:r>
    </w:p>
    <w:p>
      <w:pPr>
        <w:pStyle w:val="Normal"/>
        <w:widowControl/>
        <w:spacing w:before="120" w:after="0"/>
        <w:ind w:hanging="720" w:start="1440" w:end="0"/>
        <w:jc w:val="both"/>
        <w:rPr>
          <w:sz w:val="24"/>
        </w:rPr>
      </w:pPr>
      <w:r>
        <w:rPr>
          <w:sz w:val="24"/>
        </w:rPr>
        <w:t>(g)</w:t>
        <w:tab/>
        <w:t>The Optionors have no knowledge of the presence of any of the following substances on, in or under the Property or Parcel 2,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or Parcel 2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Parcel 2, or any part thereof.  There are no underground storage tanks of any nature located on the Property or Parcel 2.</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Optionors shall promptly give Optionee notice upon the occurrence of any event, or receipt of any notice, which might give rise to a breach by Optionors of any of the representations, covenants or warranties set forth in this Section 16.</w:t>
      </w:r>
    </w:p>
    <w:p>
      <w:pPr>
        <w:pStyle w:val="Normal"/>
        <w:keepNext w:val="true"/>
        <w:widowControl/>
        <w:numPr>
          <w:ilvl w:val="0"/>
          <w:numId w:val="4"/>
        </w:numPr>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sz w:val="24"/>
        </w:rPr>
      </w:pPr>
      <w:r>
        <w:rPr>
          <w:b/>
          <w:sz w:val="24"/>
        </w:rPr>
        <w:t>Section 1031 Exchange</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b/>
          <w:sz w:val="24"/>
        </w:rPr>
        <w:tab/>
      </w:r>
      <w:r>
        <w:rPr>
          <w:sz w:val="24"/>
        </w:rPr>
        <w:t>Optionors may, at its option, effectuate an IRS Section 1031 Exchange with Optionee to exchange property designated by Optionors.  Optionors shall have 90 days from the exercise of the Option to closing to search for an exchange property or to establish an intermediary escrow.  Optionor is responsible for all costs associated with an IRS Section 1031 Exchange.</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18.</w:t>
        <w:tab/>
        <w:t>Contingencies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and the obligations of Optionee hereunder shall be subject to the satisfaction of each of the following conditions precedent:</w:t>
      </w:r>
    </w:p>
    <w:p>
      <w:pPr>
        <w:pStyle w:val="Normal"/>
        <w:widowControl/>
        <w:spacing w:before="120" w:after="0"/>
        <w:ind w:hanging="720" w:start="1440" w:end="0"/>
        <w:jc w:val="both"/>
        <w:rPr>
          <w:sz w:val="24"/>
        </w:rPr>
      </w:pPr>
      <w:r>
        <w:rPr>
          <w:sz w:val="24"/>
        </w:rPr>
        <w:t>(a)</w:t>
        <w:tab/>
      </w:r>
      <w:r>
        <w:rPr>
          <w:spacing w:val="-3"/>
          <w:sz w:val="24"/>
        </w:rPr>
        <w:t>There are no federal, state or local governmental laws, ordinances or restrictions, or deed or other restrictions which would prohibit or prevent Optionee's right and ability to construct and operate a power plant for the generation of electricity on the Property or to use Parcel 2 for the Easement (collectively, the "Project").</w:t>
      </w:r>
    </w:p>
    <w:p>
      <w:pPr>
        <w:pStyle w:val="Normal"/>
        <w:tabs>
          <w:tab w:val="clear" w:pos="720"/>
          <w:tab w:val="left" w:pos="-720" w:leader="none"/>
          <w:tab w:val="left" w:pos="0" w:leader="none"/>
        </w:tabs>
        <w:suppressAutoHyphens w:val="true"/>
        <w:spacing w:before="120" w:after="0"/>
        <w:ind w:hanging="720" w:start="1440" w:end="0"/>
        <w:jc w:val="both"/>
        <w:rPr/>
      </w:pPr>
      <w:r>
        <w:rPr>
          <w:sz w:val="24"/>
        </w:rPr>
        <w:t>(b)</w:t>
        <w:tab/>
      </w:r>
      <w:r>
        <w:rPr>
          <w:spacing w:val="-3"/>
          <w:sz w:val="24"/>
        </w:rPr>
        <w:t>Receipt by Optionee of a satisfactory Phase I environmental assessment of the Property and Parcel 2 (as desired by Optionee).</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(c)</w:t>
        <w:tab/>
        <w:t>All representations and warranties of Optionors set forth in Section 16 hereof are true and correct as of the Closing.</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(d)</w:t>
        <w:tab/>
        <w:t>Optionors shall be able to convey indefeasible fee simple title to the Property and the Easement on Parcel 2 to Optionee and provide to Optionee, at Optionee’s sole cost and expense, an owner’s title insurance policy and survey in the form required by Optionee.</w:t>
      </w:r>
    </w:p>
    <w:p>
      <w:pPr>
        <w:pStyle w:val="Normal"/>
        <w:tabs>
          <w:tab w:val="clear" w:pos="720"/>
          <w:tab w:val="left" w:pos="-720" w:leader="none"/>
          <w:tab w:val="left" w:pos="0" w:leader="none"/>
        </w:tabs>
        <w:suppressAutoHyphens w:val="true"/>
        <w:spacing w:before="120" w:after="0"/>
        <w:ind w:hanging="720" w:start="1440" w:end="0"/>
        <w:jc w:val="both"/>
        <w:rPr>
          <w:sz w:val="24"/>
        </w:rPr>
      </w:pPr>
      <w:r>
        <w:rPr>
          <w:spacing w:val="-3"/>
          <w:sz w:val="24"/>
        </w:rPr>
        <w:t>(e)</w:t>
        <w:tab/>
        <w:t>Optionee has obtained financing satisfactory in amount and terms to Optionee in order to permit the acquisition of the Property.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In the event any of the foregoing conditions are not satisfied, Optionee may in its sole discretion at any time prior to the delivery of the deed for the Property and the grant of the Easement on Parcel 2 by Optionors to Optionee and the payment of the purchase price therefor by Optionee to Optionors, (</w:t>
      </w:r>
      <w:bookmarkStart w:id="0" w:name="BM_1_"/>
      <w:bookmarkEnd w:id="0"/>
      <w:r>
        <w:rPr>
          <w:sz w:val="24"/>
        </w:rPr>
        <w:t>i) terminate this Option and/or revoke any exercise of the option contained herein, and this Option shall thereupon terminate and be of no further force and effect, or (ii) exercise the option herein granted if the same shall not have been previously exercised and/or consummate the purchase of the Property and the grant of the Easement on Parcel 2 following exercise as provided herein.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19.</w:t>
        <w:tab/>
        <w:t>Default by Optionors</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In the event that Optionors fail or refuse to close the purchase of the Property or grant the Easement on Parcel 2 in accordance with the terms of this Option, or otherwise fails or refuses to observe and keep the terms of this Option, and Optionee is not in default hereunder, Optionee shall have the right (i) to declare this Option canceled, or (ii) 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20.</w:t>
        <w:tab/>
        <w:t>Default by Optionee</w:t>
      </w:r>
    </w:p>
    <w:p>
      <w:pPr>
        <w:pStyle w:val="Normal"/>
        <w:widowControl/>
        <w:spacing w:before="120" w:after="0"/>
        <w:jc w:val="both"/>
        <w:rPr>
          <w:sz w:val="24"/>
        </w:rPr>
      </w:pPr>
      <w:r>
        <w:rPr>
          <w:sz w:val="24"/>
        </w:rPr>
        <w:tab/>
        <w:t xml:space="preserve">If the Option terminates or expires prior to exercise thereof by Optionee, Optionors as their sole and exclusive remedy shall retain the Option Consideration (and the Option Renewal Consideration, if applicable) and the Option shall absolutely terminate and Optionee shall have no right to receive the grant of Easement on Parcel 2 or to purchase the Property and no other liability or obligation to Optionors except as provided herein.  The Option Consideration (and the Option Renewal Consideration, if applicable) constitutes the true option consideration, not damages and not a penalty or forfeiture and are deemed earned and the property of Optionors upon receipt by Optionors.  </w:t>
      </w:r>
      <w:del w:id="3" w:author="kmann" w:date="2000-08-25T12:47:00Z">
        <w:r>
          <w:rPr>
            <w:sz w:val="24"/>
          </w:rPr>
          <w:delText>Upon Optionee's exercise of the Option and Optionee's subsequent failure to perform its obligations under this Option, this Option shall at Optionors’ option, be terminated and the escrow canceled.  Due to the fluctuation in land values, the current unpredictable state of the economy, the fluctuating money market for real estate loans of all types, and other factors which directly affect the value and marketability of the Property, Optionee and Optionors acknowledge that it would be</w:delText>
        </w:r>
      </w:del>
      <w:r>
        <w:rPr>
          <w:sz w:val="24"/>
        </w:rPr>
        <w:t xml:space="preserve"> </w:t>
      </w:r>
      <w:del w:id="4" w:author="kmann" w:date="2000-08-25T12:48:00Z">
        <w:r>
          <w:rPr>
            <w:sz w:val="24"/>
          </w:rPr>
          <w:delText>extremely difficult and impractical, if not impossible, to ascertain with any degree of certainty before signing this Option the amount of damages which would be suffered by Optionors if Optionee fails to perform its obligations under this Option.  Optionee and Optionors having made diligent but unsuccessful  attempts to ascertain the actual damages Optionors would suffer if Optionee default under this Option, agree that a reasonable estimate of Optionors’ damages in such event is the Option Consideration, the extension consideration, if any, other sums paid by Optionee and Twenty-Five Thousand Dollars ($25,000) for liquidated damages.  Therefore, upon the termination and cancellation of this Option by Optionors by reason of Optionee's default, escrow holder shall immediately cancel the escrow and Optionors shall retain all such sums as Optionors’ sole and exclusive remedy for Optionee's failure to purchase the Property; provided, however, that this liquidated damages provision shall not relieve Optionee of  its indemnification obligations under this Option, or its obligation to pay all escrow cancellation and title charges as required herein.</w:delText>
        </w:r>
      </w:del>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21.</w:t>
        <w:tab/>
        <w:t>Indemnity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22.</w:t>
        <w:tab/>
        <w:t>Survival</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23.</w:t>
        <w:tab/>
        <w:t>Binding Effect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shall run with and encumber the Property and Parcel 2 and is binding upon Optionee and his heirs, successors, permitted assigns, administrators, executors, trustees, beneficiaries and legal representatives and upon Optionee and its members, officers, directors, agents, representatives, employees, successors and assigns.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24.</w:t>
        <w:tab/>
        <w:t>Broker and Commission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will indemnify and hold Optionee harmless from and against all claims by any broker for commissions arising from this Option.  The provisions of this Section 24 shall survive the Closing of this transaction.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25.</w:t>
        <w:tab/>
        <w:t>Counterparts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r>
        <w:rPr>
          <w:sz w:val="24"/>
        </w:rPr>
        <w:t>This Option may be executed simultaneously in counterparts, each of which shall be deemed an original, but all of which together shall constitute one and the same instrument.</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26.</w:t>
        <w:tab/>
        <w:t>No Interpretation Against the Draftsman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and Optionee hereby agree that no provision of this Option shall be construed against Optionors or Optionee on the basis that the provision was drafted by such party or such party’s counsel.</w:t>
      </w:r>
    </w:p>
    <w:p>
      <w:pPr>
        <w:pStyle w:val="Normal"/>
        <w:widowControl/>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b/>
          <w:sz w:val="24"/>
        </w:rPr>
        <w:t>27.</w:t>
        <w:tab/>
        <w:t>Arbitration</w:t>
      </w:r>
    </w:p>
    <w:p>
      <w:pPr>
        <w:pStyle w:val="BodyText3"/>
        <w:rPr>
          <w:sz w:val="24"/>
        </w:rPr>
      </w:pPr>
      <w:r>
        <w:rPr>
          <w:sz w:val="24"/>
        </w:rPr>
        <w:tab/>
        <w:t>Excepting the rights of the parties pursuant to Sections 19 and 20 above, all claims and matters in question arising out of this Option or the relationship between the parties created by this Option or otherwise involving the Property or Parcel 2,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keepNext w:val="true"/>
        <w:widowControl/>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z w:val="24"/>
        </w:rPr>
        <w:t>28.</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ab/>
        <w: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t>
      </w:r>
    </w:p>
    <w:p>
      <w:pPr>
        <w:pStyle w:val="Normal"/>
        <w:widowControl/>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b/>
          <w:sz w:val="24"/>
        </w:rPr>
      </w:pPr>
      <w:r>
        <w:rPr>
          <w:b/>
          <w:sz w:val="24"/>
        </w:rPr>
        <w:t>29.</w:t>
        <w:tab/>
        <w:t>Confidentiality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Except as otherwise set forth in this Section 29,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or Parcel 2 and the transactions contemplated by the Option; provided, however, that each party,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or as deemed necessary by Optionee in connection with its proposed use of this Property or the Project; and (c) in connection with exercising any remedy in any proceeding contemplated by Section 27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r>
      <w:r>
        <w:rPr>
          <w:b/>
          <w:sz w:val="24"/>
        </w:rPr>
        <w:t>30. Cooperation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 xml:space="preserve">Optionors shall cooperate with all reasonable requests of Optionee with regard to Optionee obtaining all approvals necessary for Optionee to construct the proposed Project. </w:t>
      </w:r>
      <w:r>
        <w:br w:type="page"/>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Optionors shall take no action or make no public statement which could be detrimental to Optionors’ achievement of said approvals.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t>EXECUTED to be effective as of the _______ day of ___________, 200___.</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4"/>
        </w:rPr>
      </w:pPr>
      <w:r>
        <w:rPr>
          <w:sz w:val="24"/>
        </w:rPr>
      </w:r>
    </w:p>
    <w:p>
      <w:pPr>
        <w:pStyle w:val="Normal"/>
        <w:keepNext w:val="true"/>
        <w:widowControl/>
        <w:tabs>
          <w:tab w:val="clear" w:pos="720"/>
          <w:tab w:val="left" w:pos="9180" w:leader="none"/>
        </w:tabs>
        <w:ind w:start="3960" w:end="0"/>
        <w:rPr>
          <w:b/>
          <w:sz w:val="24"/>
        </w:rPr>
      </w:pPr>
      <w:r>
        <w:rPr>
          <w:b/>
          <w:sz w:val="24"/>
        </w:rPr>
        <w:t>OPTIONORS:</w:t>
      </w:r>
    </w:p>
    <w:p>
      <w:pPr>
        <w:pStyle w:val="Normal"/>
        <w:keepNext w:val="true"/>
        <w:widowControl/>
        <w:tabs>
          <w:tab w:val="clear" w:pos="720"/>
          <w:tab w:val="left" w:pos="9180" w:leader="none"/>
        </w:tabs>
        <w:ind w:start="4320" w:end="0"/>
        <w:rPr>
          <w:b/>
          <w:sz w:val="24"/>
        </w:rPr>
      </w:pPr>
      <w:r>
        <w:rPr>
          <w:b/>
          <w:sz w:val="24"/>
        </w:rPr>
      </w:r>
    </w:p>
    <w:p>
      <w:pPr>
        <w:pStyle w:val="Heading4"/>
        <w:ind w:start="3960" w:end="0"/>
        <w:rPr>
          <w:u w:val="single"/>
        </w:rPr>
      </w:pPr>
      <w:r>
        <w:rPr>
          <w:u w:val="single"/>
        </w:rPr>
        <w:tab/>
      </w:r>
    </w:p>
    <w:p>
      <w:pPr>
        <w:pStyle w:val="Heading4"/>
        <w:ind w:start="3960" w:end="0"/>
        <w:rPr/>
      </w:pPr>
      <w:r>
        <w:rPr/>
        <w:t>Virgil Ledford</w:t>
      </w:r>
    </w:p>
    <w:p>
      <w:pPr>
        <w:pStyle w:val="Normal"/>
        <w:tabs>
          <w:tab w:val="clear" w:pos="720"/>
          <w:tab w:val="left" w:pos="9180" w:leader="none"/>
        </w:tabs>
        <w:ind w:start="3960" w:end="0"/>
        <w:rPr/>
      </w:pPr>
      <w:r>
        <w:rPr>
          <w:sz w:val="24"/>
        </w:rPr>
        <w:t xml:space="preserve">SSN:  </w:t>
      </w:r>
      <w:r>
        <w:rPr>
          <w:sz w:val="24"/>
          <w:u w:val="single"/>
        </w:rPr>
        <w:tab/>
      </w:r>
    </w:p>
    <w:p>
      <w:pPr>
        <w:pStyle w:val="Heading4"/>
        <w:ind w:start="3960" w:end="0"/>
        <w:rPr>
          <w:sz w:val="24"/>
          <w:u w:val="single"/>
        </w:rPr>
      </w:pPr>
      <w:r>
        <w:rPr>
          <w:sz w:val="24"/>
          <w:u w:val="single"/>
        </w:rPr>
      </w:r>
    </w:p>
    <w:p>
      <w:pPr>
        <w:pStyle w:val="Heading4"/>
        <w:ind w:start="3960" w:end="0"/>
        <w:rPr>
          <w:u w:val="single"/>
        </w:rPr>
      </w:pPr>
      <w:r>
        <w:rPr>
          <w:u w:val="single"/>
        </w:rPr>
        <w:tab/>
      </w:r>
    </w:p>
    <w:p>
      <w:pPr>
        <w:pStyle w:val="Heading4"/>
        <w:ind w:start="3960" w:end="0"/>
        <w:rPr/>
      </w:pPr>
      <w:r>
        <w:rPr/>
        <w:t>Joan Ledford</w:t>
      </w:r>
    </w:p>
    <w:p>
      <w:pPr>
        <w:pStyle w:val="Normal"/>
        <w:tabs>
          <w:tab w:val="clear" w:pos="720"/>
          <w:tab w:val="left" w:pos="9180" w:leader="none"/>
        </w:tabs>
        <w:ind w:start="3960" w:end="0"/>
        <w:rPr/>
      </w:pPr>
      <w:r>
        <w:rPr>
          <w:sz w:val="24"/>
        </w:rPr>
        <w:t xml:space="preserve">SSN:  </w:t>
      </w:r>
      <w:r>
        <w:rPr>
          <w:sz w:val="24"/>
          <w:u w:val="single"/>
        </w:rPr>
        <w:tab/>
      </w:r>
    </w:p>
    <w:p>
      <w:pPr>
        <w:pStyle w:val="Normal"/>
        <w:keepNext w:val="true"/>
        <w:widowControl/>
        <w:tabs>
          <w:tab w:val="clear" w:pos="720"/>
          <w:tab w:val="left" w:pos="9180" w:leader="none"/>
        </w:tabs>
        <w:ind w:start="3960" w:end="0"/>
        <w:rPr>
          <w:b/>
          <w:sz w:val="24"/>
          <w:u w:val="single"/>
        </w:rPr>
      </w:pPr>
      <w:r>
        <w:rPr>
          <w:b/>
          <w:sz w:val="24"/>
          <w:u w:val="single"/>
        </w:rPr>
      </w:r>
    </w:p>
    <w:p>
      <w:pPr>
        <w:pStyle w:val="Normal"/>
        <w:keepNext w:val="true"/>
        <w:widowControl/>
        <w:tabs>
          <w:tab w:val="clear" w:pos="720"/>
          <w:tab w:val="left" w:pos="9180" w:leader="none"/>
        </w:tabs>
        <w:ind w:start="4320" w:end="0"/>
        <w:rPr>
          <w:b/>
          <w:sz w:val="24"/>
        </w:rPr>
      </w:pPr>
      <w:r>
        <w:rPr>
          <w:b/>
          <w:sz w:val="24"/>
        </w:rPr>
      </w:r>
    </w:p>
    <w:p>
      <w:pPr>
        <w:pStyle w:val="Heading4"/>
        <w:ind w:start="3960" w:end="0"/>
        <w:rPr>
          <w:u w:val="single"/>
        </w:rPr>
      </w:pPr>
      <w:r>
        <w:rPr>
          <w:u w:val="single"/>
        </w:rPr>
        <w:tab/>
      </w:r>
    </w:p>
    <w:p>
      <w:pPr>
        <w:pStyle w:val="Heading4"/>
        <w:ind w:start="3960" w:end="0"/>
        <w:rPr/>
      </w:pPr>
      <w:r>
        <w:rPr/>
        <w:t>Steven Ledford</w:t>
      </w:r>
    </w:p>
    <w:p>
      <w:pPr>
        <w:pStyle w:val="Normal"/>
        <w:tabs>
          <w:tab w:val="clear" w:pos="720"/>
          <w:tab w:val="left" w:pos="9180" w:leader="none"/>
        </w:tabs>
        <w:ind w:start="3960" w:end="0"/>
        <w:rPr/>
      </w:pPr>
      <w:r>
        <w:rPr>
          <w:sz w:val="24"/>
        </w:rPr>
        <w:t xml:space="preserve">SSN:  </w:t>
      </w:r>
      <w:r>
        <w:rPr>
          <w:sz w:val="24"/>
          <w:u w:val="single"/>
        </w:rPr>
        <w:tab/>
      </w:r>
    </w:p>
    <w:p>
      <w:pPr>
        <w:pStyle w:val="Heading4"/>
        <w:ind w:start="3960" w:end="0"/>
        <w:rPr>
          <w:sz w:val="24"/>
          <w:u w:val="single"/>
        </w:rPr>
      </w:pPr>
      <w:r>
        <w:rPr>
          <w:sz w:val="24"/>
          <w:u w:val="single"/>
        </w:rPr>
      </w:r>
    </w:p>
    <w:p>
      <w:pPr>
        <w:pStyle w:val="Normal"/>
        <w:rPr>
          <w:u w:val="single"/>
        </w:rPr>
      </w:pPr>
      <w:r>
        <w:rPr>
          <w:u w:val="single"/>
        </w:rPr>
      </w:r>
    </w:p>
    <w:p>
      <w:pPr>
        <w:pStyle w:val="Heading4"/>
        <w:ind w:start="3960" w:end="0"/>
        <w:rPr>
          <w:u w:val="single"/>
        </w:rPr>
      </w:pPr>
      <w:r>
        <w:rPr>
          <w:u w:val="single"/>
        </w:rPr>
        <w:tab/>
      </w:r>
    </w:p>
    <w:p>
      <w:pPr>
        <w:pStyle w:val="Heading4"/>
        <w:ind w:start="3960" w:end="0"/>
        <w:rPr/>
      </w:pPr>
      <w:r>
        <w:rPr/>
        <w:t>Lynn Ledford</w:t>
      </w:r>
    </w:p>
    <w:p>
      <w:pPr>
        <w:pStyle w:val="Normal"/>
        <w:tabs>
          <w:tab w:val="clear" w:pos="720"/>
          <w:tab w:val="left" w:pos="9180" w:leader="none"/>
        </w:tabs>
        <w:ind w:start="3960" w:end="0"/>
        <w:rPr/>
      </w:pPr>
      <w:r>
        <w:rPr>
          <w:sz w:val="24"/>
        </w:rPr>
        <w:t xml:space="preserve">SSN:  </w:t>
      </w:r>
      <w:r>
        <w:rPr>
          <w:sz w:val="24"/>
          <w:u w:val="single"/>
        </w:rPr>
        <w:tab/>
      </w:r>
    </w:p>
    <w:p>
      <w:pPr>
        <w:pStyle w:val="Normal"/>
        <w:tabs>
          <w:tab w:val="clear" w:pos="720"/>
          <w:tab w:val="left" w:pos="9180" w:leader="none"/>
        </w:tabs>
        <w:ind w:start="3960" w:end="0"/>
        <w:rPr>
          <w:sz w:val="24"/>
          <w:u w:val="single"/>
        </w:rPr>
      </w:pPr>
      <w:r>
        <w:rPr>
          <w:sz w:val="24"/>
          <w:u w:val="single"/>
        </w:rPr>
      </w:r>
    </w:p>
    <w:p>
      <w:pPr>
        <w:pStyle w:val="Normal"/>
        <w:keepNext w:val="true"/>
        <w:widowControl/>
        <w:tabs>
          <w:tab w:val="clear" w:pos="720"/>
          <w:tab w:val="left" w:pos="9180" w:leader="none"/>
        </w:tabs>
        <w:spacing w:before="360" w:after="0"/>
        <w:ind w:start="3960" w:end="0"/>
        <w:rPr>
          <w:b/>
          <w:sz w:val="24"/>
        </w:rPr>
      </w:pPr>
      <w:r>
        <w:rPr>
          <w:b/>
          <w:sz w:val="24"/>
        </w:rPr>
        <w:t>OPTIONEE:</w:t>
      </w:r>
    </w:p>
    <w:p>
      <w:pPr>
        <w:pStyle w:val="Heading5"/>
        <w:rPr>
          <w:b/>
          <w:sz w:val="24"/>
        </w:rPr>
      </w:pPr>
      <w:r>
        <w:rPr>
          <w:b/>
          <w:sz w:val="24"/>
        </w:rPr>
      </w:r>
    </w:p>
    <w:p>
      <w:pPr>
        <w:pStyle w:val="Heading5"/>
        <w:rPr/>
      </w:pPr>
      <w:r>
        <w:rPr/>
        <w:t>TITAN LAND DEVELOPMENT COMPANY, L.L.C.</w:t>
      </w:r>
    </w:p>
    <w:p>
      <w:pPr>
        <w:pStyle w:val="Normal"/>
        <w:rPr>
          <w:sz w:val="24"/>
        </w:rPr>
      </w:pPr>
      <w:r>
        <w:rPr>
          <w:sz w:val="24"/>
        </w:rPr>
      </w:r>
    </w:p>
    <w:p>
      <w:pPr>
        <w:pStyle w:val="Normal"/>
        <w:keepNext w:val="true"/>
        <w:widowControl/>
        <w:tabs>
          <w:tab w:val="clear" w:pos="720"/>
          <w:tab w:val="left" w:pos="9180" w:leader="none"/>
        </w:tabs>
        <w:ind w:start="3960" w:end="0"/>
        <w:rPr>
          <w:sz w:val="24"/>
        </w:rPr>
      </w:pPr>
      <w:r>
        <w:rPr>
          <w:sz w:val="24"/>
        </w:rPr>
        <w:t xml:space="preserve">By:  </w:t>
      </w:r>
      <w:r>
        <w:rPr>
          <w:sz w:val="24"/>
          <w:u w:val="single"/>
        </w:rPr>
        <w:tab/>
      </w:r>
    </w:p>
    <w:p>
      <w:pPr>
        <w:pStyle w:val="Normal"/>
        <w:keepNext w:val="true"/>
        <w:widowControl/>
        <w:tabs>
          <w:tab w:val="clear" w:pos="720"/>
          <w:tab w:val="left" w:pos="9180" w:leader="none"/>
        </w:tabs>
        <w:ind w:start="3960" w:end="0"/>
        <w:rPr>
          <w:sz w:val="24"/>
        </w:rPr>
      </w:pPr>
      <w:r>
        <w:rPr>
          <w:sz w:val="24"/>
        </w:rPr>
        <w:t xml:space="preserve">Name:  </w:t>
      </w:r>
      <w:r>
        <w:rPr>
          <w:sz w:val="24"/>
          <w:u w:val="single"/>
        </w:rPr>
        <w:tab/>
      </w:r>
    </w:p>
    <w:p>
      <w:pPr>
        <w:pStyle w:val="Normal"/>
        <w:widowControl/>
        <w:tabs>
          <w:tab w:val="clear" w:pos="720"/>
          <w:tab w:val="left" w:pos="9180" w:leader="none"/>
        </w:tabs>
        <w:ind w:start="3960" w:end="0"/>
        <w:rPr/>
      </w:pPr>
      <w:r>
        <w:rPr>
          <w:sz w:val="24"/>
        </w:rPr>
        <w:t xml:space="preserve">Title:  </w:t>
      </w:r>
      <w:r>
        <w:rPr>
          <w:sz w:val="24"/>
          <w:u w:val="single"/>
        </w:rPr>
        <w:tab/>
      </w:r>
    </w:p>
    <w:p>
      <w:pPr>
        <w:pStyle w:val="Normal"/>
        <w:widowControl/>
        <w:tabs>
          <w:tab w:val="clear" w:pos="720"/>
          <w:tab w:val="left" w:pos="9180" w:leader="none"/>
        </w:tabs>
        <w:ind w:start="3960" w:end="0"/>
        <w:rPr/>
      </w:pPr>
      <w:r>
        <w:rPr>
          <w:sz w:val="24"/>
        </w:rPr>
        <w:t xml:space="preserve">FEIN:  </w:t>
      </w:r>
      <w:r>
        <w:rPr>
          <w:sz w:val="24"/>
          <w:u w:val="single"/>
        </w:rPr>
        <w:tab/>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r>
    </w:p>
    <w:p>
      <w:pPr>
        <w:pStyle w:val="Normal"/>
        <w:widowControl/>
        <w:tabs>
          <w:tab w:val="clear" w:pos="720"/>
          <w:tab w:val="left" w:pos="9180" w:leader="none"/>
        </w:tabs>
        <w:jc w:val="both"/>
        <w:rPr>
          <w:sz w:val="24"/>
          <w:u w:val="single"/>
        </w:rPr>
      </w:pPr>
      <w:r>
        <w:rPr>
          <w:sz w:val="24"/>
          <w:u w:val="single"/>
        </w:rPr>
      </w:r>
      <w:r>
        <w:br w:type="page"/>
      </w:r>
    </w:p>
    <w:p>
      <w:pPr>
        <w:pStyle w:val="Normal"/>
        <w:widowControl/>
        <w:rPr>
          <w:sz w:val="24"/>
        </w:rPr>
      </w:pPr>
      <w:r>
        <w:rPr>
          <w:b/>
          <w:sz w:val="24"/>
        </w:rPr>
        <w:t>STATE OF ILLINOIS</w:t>
      </w:r>
    </w:p>
    <w:p>
      <w:pPr>
        <w:pStyle w:val="Normal"/>
        <w:widowControl/>
        <w:rPr>
          <w:b/>
          <w:sz w:val="24"/>
        </w:rPr>
      </w:pPr>
      <w:r>
        <w:rPr>
          <w:b/>
          <w:sz w:val="24"/>
        </w:rPr>
        <w:t>COUNTY OF ____________</w:t>
      </w:r>
    </w:p>
    <w:p>
      <w:pPr>
        <w:pStyle w:val="Normal"/>
        <w:widowControl/>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Virgil and Joan Ledford and Steven and Lynn Ledford, who acknowledged before me that they signed, sealed and delivered the above and foregoing Option to Purchase Real Estate and Grant Easement on the date above written for the purposes therein expressed as their voluntary act and deed.</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STATE OF 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COUNTY OF 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____________________________ who is personally known to me as the __________________ of Titan Land Development Company, L.L.C., a Delaware limited liability company, who acknowledged before me that they signed, sealed and delivered the above and foregoing Option to Purchase Real Estate for an on behalf of the company on the date above written for the purposes therein expressed as the voluntary act and deed of company.</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tab/>
      </w:r>
      <w:r>
        <w:rPr>
          <w:b/>
        </w:rPr>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BodyTextIndent2"/>
        <w:keepLines w:val="false"/>
        <w:spacing w:before="0" w:after="0"/>
        <w:rPr>
          <w:sz w:val="24"/>
        </w:rPr>
      </w:pPr>
      <w:r>
        <w:rPr>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b/>
          <w:sz w:val="24"/>
        </w:rPr>
      </w:pPr>
      <w:r>
        <w:rPr>
          <w:b/>
          <w:sz w:val="24"/>
        </w:rPr>
        <w:t>LEGAL DESCRIPTION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b/>
          <w:sz w:val="24"/>
        </w:rPr>
      </w:pPr>
      <w:r>
        <w:rPr>
          <w:b/>
          <w:sz w:val="24"/>
        </w:rPr>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sz w:val="24"/>
        </w:rPr>
      </w:pPr>
      <w:r>
        <w:rPr>
          <w:b/>
          <w:sz w:val="24"/>
        </w:rPr>
        <w:t>THE NORTH 250' OF THE SOUTH OF THE 668' OF THE WEST 460' OF SECTION 1, TOWNSHIP 27 NORTH, RANGE 5 EAST OF THE THIRD PRINCIPAL MERIDIAN IN LIVINGSTON COUNTY, ILLINOIS AND CONSISTING OF 2.64 ACRES INCLUDING THE PRESENT ROAD RIGHT-OF-WAY</w:t>
      </w:r>
      <w:r>
        <w:br w:type="page"/>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b/>
          <w:sz w:val="24"/>
        </w:rPr>
        <w:t>GRANT OF EASEMENT LEGAL DESCRIPTION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sz w:val="24"/>
        </w:rPr>
        <w:t>[TO BE INSERTED]</w:t>
      </w:r>
      <w:r>
        <w:br w:type="page"/>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C</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BUILDINGS AND APPURTENANCES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sz w:val="24"/>
        </w:rPr>
      </w:pPr>
      <w:r>
        <w:rPr>
          <w:b/>
          <w:sz w:val="24"/>
        </w:rPr>
      </w:r>
    </w:p>
    <w:p>
      <w:pPr>
        <w:pStyle w:val="Normal"/>
        <w:widowControl/>
        <w:numPr>
          <w:ilvl w:val="0"/>
          <w:numId w:val="3"/>
        </w:numPr>
        <w:tabs>
          <w:tab w:val="clear" w:pos="720"/>
          <w:tab w:val="left" w:pos="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sz w:val="24"/>
        </w:rPr>
      </w:pPr>
      <w:r>
        <w:rPr>
          <w:b/>
          <w:sz w:val="24"/>
        </w:rPr>
        <w:t>Bin</w:t>
      </w:r>
    </w:p>
    <w:p>
      <w:pPr>
        <w:pStyle w:val="Normal"/>
        <w:widowControl/>
        <w:numPr>
          <w:ilvl w:val="0"/>
          <w:numId w:val="3"/>
        </w:numPr>
        <w:tabs>
          <w:tab w:val="clear" w:pos="720"/>
          <w:tab w:val="left" w:pos="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sz w:val="24"/>
        </w:rPr>
      </w:pPr>
      <w:r>
        <w:rPr>
          <w:b/>
          <w:sz w:val="24"/>
        </w:rPr>
        <w:t>Iron Fence</w:t>
      </w:r>
    </w:p>
    <w:p>
      <w:pPr>
        <w:pStyle w:val="Normal"/>
        <w:widowControl/>
        <w:numPr>
          <w:ilvl w:val="0"/>
          <w:numId w:val="3"/>
        </w:numPr>
        <w:tabs>
          <w:tab w:val="clear" w:pos="720"/>
          <w:tab w:val="left" w:pos="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sz w:val="24"/>
        </w:rPr>
      </w:pPr>
      <w:r>
        <w:rPr>
          <w:b/>
          <w:sz w:val="24"/>
        </w:rPr>
        <w:t>Machine Shed</w:t>
      </w:r>
      <w:r>
        <w:br w:type="page"/>
      </w:r>
    </w:p>
    <w:p>
      <w:pPr>
        <w:pStyle w:val="Normal"/>
        <w:widowControl/>
        <w:tabs>
          <w:tab w:val="clear" w:pos="720"/>
          <w:tab w:val="left" w:pos="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sz w:val="24"/>
        </w:rPr>
      </w:pPr>
      <w:r>
        <w:rPr>
          <w:b/>
          <w:sz w:val="24"/>
        </w:rPr>
        <w:t>EXHIBIT D</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 xml:space="preserve">LEGAL DESCRIPTION OF </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ELECTRIC GENERATION FACILITY PARCEL</w:t>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b/>
          <w:sz w:val="16"/>
        </w:rPr>
      </w:pPr>
      <w:r>
        <w:rPr>
          <w:b/>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pPr>
      <w:r>
        <w:rPr/>
        <w:t>The West Half of the Southwest Quarter and the South Half of the Southwest Quarter of the Northwest Quarter, together with the South Half of the Southeast Quarter of the Northwest Quarter, all in Section 1, Township 27 North, Range 5 East of the Third Principal Meridian, Livingston County, Illinois, excepting therefrom the following described Tract to wit: The North 250 feet of the South 668 Feet of the West 460 Feet of said Section 1, aforesaid.</w:t>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CHIDOCS2/21332/3156978.v 2  9/28/2000  4:07 PM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CHIDOCS2/21332/3156978 v 2  9/28/2000  1:35 PM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CHIDOCS2/21332/3156978.v 2  9/28/2000  4:07 PM</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CHIDOCS2/20036/3153360.v 1  9/6/2000</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7"/>
      <w:numFmt w:val="decimal"/>
      <w:lvlText w:val="%1."/>
      <w:lvlJc w:val="start"/>
      <w:pPr>
        <w:tabs>
          <w:tab w:val="num" w:pos="1440"/>
        </w:tabs>
        <w:ind w:start="1440" w:hanging="720"/>
      </w:pPr>
      <w:rPr>
        <w:sz w:val="24"/>
        <w:rFonts w:ascii="Times New Roman" w:hAnsi="Times New Roman"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9180" w:leader="none"/>
      </w:tabs>
      <w:ind w:hanging="0" w:start="4320" w:end="0"/>
      <w:outlineLvl w:val="3"/>
    </w:pPr>
    <w:rPr>
      <w:sz w:val="24"/>
    </w:rPr>
  </w:style>
  <w:style w:type="paragraph" w:styleId="Heading5">
    <w:name w:val="heading 5"/>
    <w:basedOn w:val="Normal"/>
    <w:next w:val="Normal"/>
    <w:qFormat/>
    <w:pPr>
      <w:keepNext w:val="true"/>
      <w:widowControl/>
      <w:numPr>
        <w:ilvl w:val="4"/>
        <w:numId w:val="1"/>
      </w:numPr>
      <w:tabs>
        <w:tab w:val="clear" w:pos="720"/>
        <w:tab w:val="left" w:pos="9180" w:leader="none"/>
      </w:tabs>
      <w:ind w:hanging="0" w:start="3960" w:end="0"/>
      <w:outlineLvl w:val="4"/>
    </w:pPr>
    <w:rPr>
      <w:sz w:val="24"/>
    </w:rPr>
  </w:style>
  <w:style w:type="paragraph" w:styleId="Heading6">
    <w:name w:val="heading 6"/>
    <w:basedOn w:val="Normal"/>
    <w:next w:val="Normal"/>
    <w:qFormat/>
    <w:pPr>
      <w:keepNext w:val="true"/>
      <w:numPr>
        <w:ilvl w:val="5"/>
        <w:numId w:val="1"/>
      </w:numPr>
      <w:ind w:firstLine="720" w:start="3600" w:end="0"/>
      <w:outlineLvl w:val="5"/>
    </w:pPr>
    <w:rPr>
      <w:sz w:val="24"/>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rFonts w:ascii="Times New Roman" w:hAnsi="Times New Roman" w:cs="Times New Roman"/>
      <w:sz w:val="24"/>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tabs>
        <w:tab w:val="clear" w:pos="720"/>
        <w:tab w:val="left" w:pos="-720" w:leader="none"/>
        <w:tab w:val="left" w:pos="0" w:leader="none"/>
      </w:tabs>
      <w:suppressAutoHyphens w:val="true"/>
      <w:spacing w:before="120" w:after="0"/>
      <w:ind w:hanging="720" w:start="1440" w:end="0"/>
      <w:jc w:val="both"/>
    </w:pPr>
    <w:rPr>
      <w:spacing w:val="-3"/>
      <w:sz w:val="24"/>
    </w:rPr>
  </w:style>
  <w:style w:type="paragraph" w:styleId="SectionBody">
    <w:name w:val="Section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tabs>
        <w:tab w:val="left" w:pos="720" w:leader="none"/>
      </w:tabs>
      <w:spacing w:before="120" w:after="0"/>
      <w:jc w:val="both"/>
    </w:pPr>
    <w:rPr>
      <w:sz w:val="22"/>
    </w:rPr>
  </w:style>
  <w:style w:type="paragraph" w:styleId="1Paragraph">
    <w:name w:val="1Paragraph"/>
    <w:qFormat/>
    <w:pPr>
      <w:widowControl/>
      <w:tabs>
        <w:tab w:val="left" w:pos="720" w:leader="none"/>
      </w:tabs>
      <w:bidi w:val="0"/>
      <w:ind w:hanging="720" w:start="720" w:end="0"/>
      <w:jc w:val="both"/>
    </w:pPr>
    <w:rPr>
      <w:rFonts w:ascii="CG Times;Times New Roman" w:hAnsi="CG Times;Times New Roman" w:eastAsia="Times New Roman" w:cs="CG Times;Times New Roman"/>
      <w:color w:val="auto"/>
      <w:sz w:val="24"/>
      <w:szCs w:val="20"/>
      <w:lang w:val="en-US"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2000-09-28T20:11:00Z</dcterms:created>
  <dc:creator>Michael Boyd:Houston:Andrews &amp; Kurth</dc:creator>
  <dc:description/>
  <dc:language>en-CA</dc:language>
  <cp:lastModifiedBy>Information Systems</cp:lastModifiedBy>
  <cp:lastPrinted>2000-09-28T17:52:00Z</cp:lastPrinted>
  <dcterms:modified xsi:type="dcterms:W3CDTF">2000-09-28T20:24:00Z</dcterms:modified>
  <cp:revision>4</cp:revision>
  <dc:subject/>
  <dc:title>First Amendment to Purchase and Sale Agreement-Copley: Hugo Gutierre</dc:title>
</cp:coreProperties>
</file>