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GoudyTrajanBold" w:hAnsi="GoudyTrajanBold" w:cs="GoudyTrajanBold"/>
          <w:szCs w:val="24"/>
        </w:rPr>
      </w:pPr>
      <w:r>
        <w:rPr>
          <w:lang w:val="en-CA"/>
        </w:rPr>
      </w:r>
      <w:r>
        <w:rPr>
          <w:rFonts w:cs="GoudyTrajanBold" w:ascii="GoudyTrajanBold" w:hAnsi="GoudyTrajanBold"/>
          <w:sz w:val="30"/>
          <w:szCs w:val="30"/>
        </w:rPr>
        <w:t>AN</w:t>
      </w:r>
      <w:r>
        <w:fldChar w:fldCharType="begin"/>
      </w:r>
      <w:r>
        <w:rPr>
          <w:sz w:val="30"/>
          <w:szCs w:val="30"/>
          <w:rFonts w:cs="GoudyTrajanBold" w:ascii="GoudyTrajanBold" w:hAnsi="GoudyTrajanBold"/>
        </w:rPr>
        <w:instrText xml:space="preserve">ADVANCE \l 1</w:instrText>
      </w:r>
      <w:r>
        <w:rPr>
          <w:rFonts w:cs="GoudyTrajanBold" w:ascii="GoudyTrajanBold" w:hAnsi="GoudyTrajanBold"/>
          <w:sz w:val="30"/>
          <w:szCs w:val="30"/>
        </w:rPr>
      </w:r>
      <w:r>
        <w:rPr>
          <w:sz w:val="30"/>
          <w:szCs w:val="30"/>
          <w:rFonts w:cs="GoudyTrajanBold" w:ascii="GoudyTrajanBold" w:hAnsi="GoudyTrajanBold"/>
        </w:rPr>
        <w:fldChar w:fldCharType="separate"/>
      </w:r>
      <w:r>
        <w:rPr>
          <w:rFonts w:cs="GoudyTrajanBold" w:ascii="GoudyTrajanBold" w:hAnsi="GoudyTrajanBold"/>
          <w:sz w:val="30"/>
          <w:szCs w:val="30"/>
        </w:rPr>
      </w:r>
      <w:r>
        <w:rPr>
          <w:rFonts w:cs="GoudyTrajanBold" w:ascii="GoudyTrajanBold" w:hAnsi="GoudyTrajanBold"/>
          <w:sz w:val="30"/>
          <w:szCs w:val="30"/>
        </w:rPr>
      </w:r>
      <w:r>
        <w:rPr>
          <w:sz w:val="30"/>
          <w:szCs w:val="30"/>
          <w:rFonts w:cs="GoudyTrajanBold" w:ascii="GoudyTrajanBold" w:hAnsi="GoudyTrajanBold"/>
        </w:rPr>
        <w:fldChar w:fldCharType="end"/>
      </w:r>
      <w:r>
        <w:rPr>
          <w:rFonts w:cs="GoudyTrajanBold" w:ascii="GoudyTrajanBold" w:hAnsi="GoudyTrajanBold"/>
          <w:sz w:val="30"/>
          <w:szCs w:val="30"/>
        </w:rPr>
        <w:t>DR</w:t>
      </w:r>
      <w:r>
        <w:fldChar w:fldCharType="begin"/>
      </w:r>
      <w:r>
        <w:rPr>
          <w:sz w:val="30"/>
          <w:szCs w:val="30"/>
          <w:rFonts w:cs="GoudyTrajanBold" w:ascii="GoudyTrajanBold" w:hAnsi="GoudyTrajanBold"/>
        </w:rPr>
        <w:instrText xml:space="preserve">ADVANCE \l 1</w:instrText>
      </w:r>
      <w:r>
        <w:rPr>
          <w:rFonts w:cs="GoudyTrajanBold" w:ascii="GoudyTrajanBold" w:hAnsi="GoudyTrajanBold"/>
          <w:sz w:val="30"/>
          <w:szCs w:val="30"/>
        </w:rPr>
      </w:r>
      <w:r>
        <w:rPr>
          <w:sz w:val="30"/>
          <w:szCs w:val="30"/>
          <w:rFonts w:cs="GoudyTrajanBold" w:ascii="GoudyTrajanBold" w:hAnsi="GoudyTrajanBold"/>
        </w:rPr>
        <w:fldChar w:fldCharType="separate"/>
      </w:r>
      <w:r>
        <w:rPr>
          <w:rFonts w:cs="GoudyTrajanBold" w:ascii="GoudyTrajanBold" w:hAnsi="GoudyTrajanBold"/>
          <w:sz w:val="30"/>
          <w:szCs w:val="30"/>
        </w:rPr>
      </w:r>
      <w:r>
        <w:rPr>
          <w:rFonts w:cs="GoudyTrajanBold" w:ascii="GoudyTrajanBold" w:hAnsi="GoudyTrajanBold"/>
          <w:sz w:val="30"/>
          <w:szCs w:val="30"/>
        </w:rPr>
      </w:r>
      <w:r>
        <w:rPr>
          <w:sz w:val="30"/>
          <w:szCs w:val="30"/>
          <w:rFonts w:cs="GoudyTrajanBold" w:ascii="GoudyTrajanBold" w:hAnsi="GoudyTrajanBold"/>
        </w:rPr>
        <w:fldChar w:fldCharType="end"/>
      </w:r>
      <w:r>
        <w:rPr>
          <w:rFonts w:cs="GoudyTrajanBold" w:ascii="GoudyTrajanBold" w:hAnsi="GoudyTrajanBold"/>
          <w:sz w:val="30"/>
          <w:szCs w:val="30"/>
        </w:rPr>
        <w:t xml:space="preserve">EwS </w:t>
      </w:r>
      <w:r>
        <w:fldChar w:fldCharType="begin"/>
      </w:r>
      <w:r>
        <w:rPr>
          <w:sz w:val="30"/>
          <w:szCs w:val="30"/>
          <w:rFonts w:cs="GoudyTrajanBold" w:ascii="GoudyTrajanBold" w:hAnsi="GoudyTrajanBold"/>
        </w:rPr>
        <w:instrText xml:space="preserve">ADVANCE \l 0</w:instrText>
      </w:r>
      <w:r>
        <w:rPr>
          <w:rFonts w:cs="GoudyTrajanBold" w:ascii="GoudyTrajanBold" w:hAnsi="GoudyTrajanBold"/>
          <w:sz w:val="30"/>
          <w:szCs w:val="30"/>
        </w:rPr>
      </w:r>
      <w:r>
        <w:rPr>
          <w:sz w:val="30"/>
          <w:szCs w:val="30"/>
          <w:rFonts w:cs="GoudyTrajanBold" w:ascii="GoudyTrajanBold" w:hAnsi="GoudyTrajanBold"/>
        </w:rPr>
        <w:fldChar w:fldCharType="separate"/>
      </w:r>
      <w:r>
        <w:rPr>
          <w:rFonts w:cs="GoudyTrajanBold" w:ascii="GoudyTrajanBold" w:hAnsi="GoudyTrajanBold"/>
          <w:sz w:val="30"/>
          <w:szCs w:val="30"/>
        </w:rPr>
      </w:r>
      <w:r>
        <w:rPr>
          <w:rFonts w:cs="GoudyTrajanBold" w:ascii="GoudyTrajanBold" w:hAnsi="GoudyTrajanBold"/>
          <w:sz w:val="30"/>
          <w:szCs w:val="30"/>
        </w:rPr>
      </w:r>
      <w:r>
        <w:rPr>
          <w:sz w:val="30"/>
          <w:szCs w:val="30"/>
          <w:rFonts w:cs="GoudyTrajanBold" w:ascii="GoudyTrajanBold" w:hAnsi="GoudyTrajanBold"/>
        </w:rPr>
        <w:fldChar w:fldCharType="end"/>
      </w:r>
      <w:r>
        <w:rPr>
          <w:rFonts w:cs="GoudyOlSt BT" w:ascii="GoudyOlSt BT" w:hAnsi="GoudyOlSt BT"/>
          <w:sz w:val="30"/>
          <w:szCs w:val="30"/>
        </w:rPr>
        <w:t>&amp;</w:t>
      </w:r>
      <w:r>
        <w:fldChar w:fldCharType="begin"/>
      </w:r>
      <w:r>
        <w:rPr>
          <w:sz w:val="30"/>
          <w:szCs w:val="30"/>
          <w:rFonts w:cs="GoudyOlSt BT" w:ascii="GoudyOlSt BT" w:hAnsi="GoudyOlSt BT"/>
        </w:rPr>
        <w:instrText xml:space="preserve">ADVANCE \l 1</w:instrText>
      </w:r>
      <w:r>
        <w:rPr>
          <w:rFonts w:cs="GoudyOlSt BT" w:ascii="GoudyOlSt BT" w:hAnsi="GoudyOlSt BT"/>
          <w:sz w:val="30"/>
          <w:szCs w:val="30"/>
        </w:rPr>
      </w:r>
      <w:r>
        <w:rPr>
          <w:sz w:val="30"/>
          <w:szCs w:val="30"/>
          <w:rFonts w:cs="GoudyOlSt BT" w:ascii="GoudyOlSt BT" w:hAnsi="GoudyOlSt BT"/>
        </w:rPr>
        <w:fldChar w:fldCharType="separate"/>
      </w:r>
      <w:r>
        <w:rPr>
          <w:rFonts w:cs="GoudyOlSt BT" w:ascii="GoudyOlSt BT" w:hAnsi="GoudyOlSt BT"/>
          <w:sz w:val="30"/>
          <w:szCs w:val="30"/>
        </w:rPr>
      </w:r>
      <w:r>
        <w:rPr>
          <w:rFonts w:cs="GoudyOlSt BT" w:ascii="GoudyOlSt BT" w:hAnsi="GoudyOlSt BT"/>
          <w:sz w:val="30"/>
          <w:szCs w:val="30"/>
        </w:rPr>
      </w:r>
      <w:r>
        <w:rPr>
          <w:sz w:val="30"/>
          <w:szCs w:val="30"/>
          <w:rFonts w:cs="GoudyOlSt BT" w:ascii="GoudyOlSt BT" w:hAnsi="GoudyOlSt BT"/>
        </w:rPr>
        <w:fldChar w:fldCharType="end"/>
      </w:r>
      <w:r>
        <w:rPr>
          <w:rFonts w:cs="GoudyTrajanBold" w:ascii="GoudyTrajanBold" w:hAnsi="GoudyTrajanBold"/>
          <w:sz w:val="30"/>
          <w:szCs w:val="30"/>
        </w:rPr>
        <w:t xml:space="preserve"> KU</w:t>
      </w:r>
      <w:r>
        <w:fldChar w:fldCharType="begin"/>
      </w:r>
      <w:r>
        <w:rPr>
          <w:sz w:val="30"/>
          <w:szCs w:val="30"/>
          <w:rFonts w:cs="GoudyTrajanBold" w:ascii="GoudyTrajanBold" w:hAnsi="GoudyTrajanBold"/>
        </w:rPr>
        <w:instrText xml:space="preserve">ADVANCE \l 0</w:instrText>
      </w:r>
      <w:r>
        <w:rPr>
          <w:rFonts w:cs="GoudyTrajanBold" w:ascii="GoudyTrajanBold" w:hAnsi="GoudyTrajanBold"/>
          <w:sz w:val="30"/>
          <w:szCs w:val="30"/>
        </w:rPr>
      </w:r>
      <w:r>
        <w:rPr>
          <w:sz w:val="30"/>
          <w:szCs w:val="30"/>
          <w:rFonts w:cs="GoudyTrajanBold" w:ascii="GoudyTrajanBold" w:hAnsi="GoudyTrajanBold"/>
        </w:rPr>
        <w:fldChar w:fldCharType="separate"/>
      </w:r>
      <w:r>
        <w:rPr>
          <w:rFonts w:cs="GoudyTrajanBold" w:ascii="GoudyTrajanBold" w:hAnsi="GoudyTrajanBold"/>
          <w:sz w:val="30"/>
          <w:szCs w:val="30"/>
        </w:rPr>
      </w:r>
      <w:r>
        <w:rPr>
          <w:rFonts w:cs="GoudyTrajanBold" w:ascii="GoudyTrajanBold" w:hAnsi="GoudyTrajanBold"/>
          <w:sz w:val="30"/>
          <w:szCs w:val="30"/>
        </w:rPr>
      </w:r>
      <w:r>
        <w:rPr>
          <w:sz w:val="30"/>
          <w:szCs w:val="30"/>
          <w:rFonts w:cs="GoudyTrajanBold" w:ascii="GoudyTrajanBold" w:hAnsi="GoudyTrajanBold"/>
        </w:rPr>
        <w:fldChar w:fldCharType="end"/>
      </w:r>
      <w:r>
        <w:rPr>
          <w:rFonts w:cs="GoudyTrajanBold" w:ascii="GoudyTrajanBold" w:hAnsi="GoudyTrajanBold"/>
          <w:sz w:val="30"/>
          <w:szCs w:val="30"/>
        </w:rPr>
        <w:t>R</w:t>
      </w:r>
      <w:r>
        <w:fldChar w:fldCharType="begin"/>
      </w:r>
      <w:r>
        <w:rPr>
          <w:sz w:val="30"/>
          <w:szCs w:val="30"/>
          <w:rFonts w:cs="GoudyTrajanBold" w:ascii="GoudyTrajanBold" w:hAnsi="GoudyTrajanBold"/>
        </w:rPr>
        <w:instrText xml:space="preserve">ADVANCE \l 0</w:instrText>
      </w:r>
      <w:r>
        <w:rPr>
          <w:rFonts w:cs="GoudyTrajanBold" w:ascii="GoudyTrajanBold" w:hAnsi="GoudyTrajanBold"/>
          <w:sz w:val="30"/>
          <w:szCs w:val="30"/>
        </w:rPr>
      </w:r>
      <w:r>
        <w:rPr>
          <w:sz w:val="30"/>
          <w:szCs w:val="30"/>
          <w:rFonts w:cs="GoudyTrajanBold" w:ascii="GoudyTrajanBold" w:hAnsi="GoudyTrajanBold"/>
        </w:rPr>
        <w:fldChar w:fldCharType="separate"/>
      </w:r>
      <w:r>
        <w:rPr>
          <w:rFonts w:cs="GoudyTrajanBold" w:ascii="GoudyTrajanBold" w:hAnsi="GoudyTrajanBold"/>
          <w:sz w:val="30"/>
          <w:szCs w:val="30"/>
        </w:rPr>
      </w:r>
      <w:r>
        <w:rPr>
          <w:rFonts w:cs="GoudyTrajanBold" w:ascii="GoudyTrajanBold" w:hAnsi="GoudyTrajanBold"/>
          <w:sz w:val="30"/>
          <w:szCs w:val="30"/>
        </w:rPr>
      </w:r>
      <w:r>
        <w:rPr>
          <w:sz w:val="30"/>
          <w:szCs w:val="30"/>
          <w:rFonts w:cs="GoudyTrajanBold" w:ascii="GoudyTrajanBold" w:hAnsi="GoudyTrajanBold"/>
        </w:rPr>
        <w:fldChar w:fldCharType="end"/>
      </w:r>
      <w:r>
        <w:rPr>
          <w:rFonts w:cs="GoudyTrajanBold" w:ascii="GoudyTrajanBold" w:hAnsi="GoudyTrajanBold"/>
          <w:sz w:val="30"/>
          <w:szCs w:val="30"/>
        </w:rPr>
        <w:t>TH L.L.P</w:t>
      </w:r>
      <w:r>
        <w:fldChar w:fldCharType="begin"/>
      </w:r>
      <w:r>
        <w:rPr>
          <w:sz w:val="30"/>
          <w:szCs w:val="30"/>
          <w:rFonts w:cs="GoudyTrajanBold" w:ascii="GoudyTrajanBold" w:hAnsi="GoudyTrajanBold"/>
        </w:rPr>
        <w:instrText xml:space="preserve">ADVANCE \l 2</w:instrText>
      </w:r>
      <w:r>
        <w:rPr>
          <w:rFonts w:cs="GoudyTrajanBold" w:ascii="GoudyTrajanBold" w:hAnsi="GoudyTrajanBold"/>
          <w:sz w:val="30"/>
          <w:szCs w:val="30"/>
        </w:rPr>
      </w:r>
      <w:r>
        <w:rPr>
          <w:sz w:val="30"/>
          <w:szCs w:val="30"/>
          <w:rFonts w:cs="GoudyTrajanBold" w:ascii="GoudyTrajanBold" w:hAnsi="GoudyTrajanBold"/>
        </w:rPr>
        <w:fldChar w:fldCharType="separate"/>
      </w:r>
      <w:r>
        <w:rPr>
          <w:rFonts w:cs="GoudyTrajanBold" w:ascii="GoudyTrajanBold" w:hAnsi="GoudyTrajanBold"/>
          <w:sz w:val="30"/>
          <w:szCs w:val="30"/>
        </w:rPr>
      </w:r>
      <w:r>
        <w:rPr>
          <w:rFonts w:cs="GoudyTrajanBold" w:ascii="GoudyTrajanBold" w:hAnsi="GoudyTrajanBold"/>
          <w:sz w:val="30"/>
          <w:szCs w:val="30"/>
        </w:rPr>
      </w:r>
      <w:r>
        <w:rPr>
          <w:sz w:val="30"/>
          <w:szCs w:val="30"/>
          <w:rFonts w:cs="GoudyTrajanBold" w:ascii="GoudyTrajanBold" w:hAnsi="GoudyTrajanBold"/>
        </w:rPr>
        <w:fldChar w:fldCharType="end"/>
      </w:r>
      <w:r>
        <w:rPr>
          <w:rFonts w:cs="GoudyTrajanBold" w:ascii="GoudyTrajanBold" w:hAnsi="GoudyTrajanBold"/>
          <w:sz w:val="30"/>
          <w:szCs w:val="30"/>
        </w:rPr>
        <w:t>.</w:t>
      </w:r>
    </w:p>
    <w:p>
      <w:pPr>
        <w:pStyle w:val="Normal"/>
        <w:widowControl/>
        <w:jc w:val="center"/>
        <w:rPr>
          <w:rFonts w:ascii="GoudyTrajanBold" w:hAnsi="GoudyTrajanBold" w:cs="GoudyTrajanBold"/>
          <w:sz w:val="30"/>
          <w:szCs w:val="30"/>
        </w:rPr>
      </w:pPr>
      <w:r>
        <w:rPr>
          <w:rFonts w:cs="GoudyTrajanBold" w:ascii="GoudyTrajanBold" w:hAnsi="GoudyTrajanBold"/>
          <w:sz w:val="14"/>
          <w:szCs w:val="14"/>
        </w:rPr>
        <w:t>ATTORNEY</w:t>
      </w:r>
      <w:r>
        <w:fldChar w:fldCharType="begin"/>
      </w:r>
      <w:r>
        <w:rPr>
          <w:sz w:val="14"/>
          <w:szCs w:val="14"/>
          <w:rFonts w:cs="GoudyTrajanBold" w:ascii="GoudyTrajanBold" w:hAnsi="GoudyTrajanBold"/>
        </w:rPr>
        <w:instrText xml:space="preserve">ADVANCE \r 0</w:instrText>
      </w:r>
      <w:r>
        <w:rPr>
          <w:rFonts w:cs="GoudyTrajanBold" w:ascii="GoudyTrajanBold" w:hAnsi="GoudyTrajanBold"/>
          <w:sz w:val="14"/>
          <w:szCs w:val="14"/>
        </w:rPr>
      </w:r>
      <w:r>
        <w:rPr>
          <w:sz w:val="14"/>
          <w:szCs w:val="14"/>
          <w:rFonts w:cs="GoudyTrajanBold" w:ascii="GoudyTrajanBold" w:hAnsi="GoudyTrajanBold"/>
        </w:rPr>
        <w:fldChar w:fldCharType="separate"/>
      </w:r>
      <w:r>
        <w:rPr>
          <w:rFonts w:cs="GoudyTrajanBold" w:ascii="GoudyTrajanBold" w:hAnsi="GoudyTrajanBold"/>
          <w:sz w:val="14"/>
          <w:szCs w:val="14"/>
        </w:rPr>
      </w:r>
      <w:r>
        <w:rPr>
          <w:rFonts w:cs="GoudyTrajanBold" w:ascii="GoudyTrajanBold" w:hAnsi="GoudyTrajanBold"/>
          <w:sz w:val="14"/>
          <w:szCs w:val="14"/>
        </w:rPr>
      </w:r>
      <w:r>
        <w:rPr>
          <w:sz w:val="14"/>
          <w:szCs w:val="14"/>
          <w:rFonts w:cs="GoudyTrajanBold" w:ascii="GoudyTrajanBold" w:hAnsi="GoudyTrajanBold"/>
        </w:rPr>
        <w:fldChar w:fldCharType="end"/>
      </w:r>
      <w:r>
        <w:rPr>
          <w:rFonts w:cs="GoudyTrajanBold" w:ascii="GoudyTrajanBold" w:hAnsi="GoudyTrajanBold"/>
          <w:sz w:val="14"/>
          <w:szCs w:val="14"/>
        </w:rPr>
        <w:t>S</w:t>
      </w:r>
    </w:p>
    <w:p>
      <w:pPr>
        <w:pStyle w:val="Normal"/>
        <w:widowControl/>
        <w:rPr>
          <w:rFonts w:ascii="GoudyTrajanBold" w:hAnsi="GoudyTrajanBold" w:cs="GoudyTrajanBold"/>
          <w:sz w:val="10"/>
          <w:szCs w:val="10"/>
        </w:rPr>
      </w:pPr>
      <w:r>
        <w:rPr>
          <w:rFonts w:cs="GoudyTrajanBold" w:ascii="GoudyTrajanBold" w:hAnsi="GoudyTrajanBold"/>
          <w:sz w:val="10"/>
          <w:szCs w:val="10"/>
        </w:rPr>
      </w:r>
    </w:p>
    <w:p>
      <w:pPr>
        <w:pStyle w:val="Normal"/>
        <w:widowControl/>
        <w:jc w:val="center"/>
        <w:rPr/>
      </w:pPr>
      <w:r>
        <w:rPr>
          <w:rFonts w:cs="GoudyOlSt BT" w:ascii="GoudyOlSt BT" w:hAnsi="GoudyOlSt BT"/>
          <w:sz w:val="13"/>
          <w:szCs w:val="13"/>
        </w:rPr>
        <w:t>1701</w:t>
      </w:r>
      <w:r>
        <w:rPr>
          <w:rFonts w:cs="GoudyTrajanRegular" w:ascii="GoudyTrajanRegular" w:hAnsi="GoudyTrajanRegular"/>
          <w:sz w:val="13"/>
          <w:szCs w:val="13"/>
        </w:rPr>
        <w:t xml:space="preserve"> </w:t>
      </w:r>
      <w:r>
        <w:fldChar w:fldCharType="begin"/>
      </w:r>
      <w:r>
        <w:rPr>
          <w:sz w:val="13"/>
          <w:szCs w:val="13"/>
          <w:rFonts w:cs="GoudyTrajanRegular" w:ascii="GoudyTrajanRegular" w:hAnsi="GoudyTrajanRegular"/>
        </w:rPr>
        <w:instrText xml:space="preserve">ADVANCE \r 0</w:instrText>
      </w:r>
      <w:r>
        <w:rPr>
          <w:rFonts w:cs="GoudyTrajanRegular" w:ascii="GoudyTrajanRegular" w:hAnsi="GoudyTrajanRegular"/>
          <w:sz w:val="13"/>
          <w:szCs w:val="13"/>
        </w:rPr>
      </w:r>
      <w:r>
        <w:rPr>
          <w:sz w:val="13"/>
          <w:szCs w:val="13"/>
          <w:rFonts w:cs="GoudyTrajanRegular" w:ascii="GoudyTrajanRegular" w:hAnsi="GoudyTrajanRegular"/>
        </w:rPr>
        <w:fldChar w:fldCharType="separate"/>
      </w:r>
      <w:r>
        <w:rPr>
          <w:rFonts w:cs="GoudyTrajanRegular" w:ascii="GoudyTrajanRegular" w:hAnsi="GoudyTrajanRegular"/>
          <w:sz w:val="13"/>
          <w:szCs w:val="13"/>
        </w:rPr>
      </w:r>
      <w:r>
        <w:rPr>
          <w:rFonts w:cs="GoudyTrajanRegular" w:ascii="GoudyTrajanRegular" w:hAnsi="GoudyTrajanRegular"/>
          <w:sz w:val="13"/>
          <w:szCs w:val="13"/>
        </w:rPr>
      </w:r>
      <w:r>
        <w:rPr>
          <w:sz w:val="13"/>
          <w:szCs w:val="13"/>
          <w:rFonts w:cs="GoudyTrajanRegular" w:ascii="GoudyTrajanRegular" w:hAnsi="GoudyTrajanRegular"/>
        </w:rPr>
        <w:fldChar w:fldCharType="end"/>
      </w:r>
      <w:r>
        <w:rPr>
          <w:rFonts w:cs="GoudyTrajanRegular" w:ascii="GoudyTrajanRegular" w:hAnsi="GoudyTrajanRegular"/>
          <w:sz w:val="13"/>
          <w:szCs w:val="13"/>
        </w:rPr>
        <w:t xml:space="preserve">PENNSYLVANIA AVENUE, </w:t>
      </w:r>
      <w:r>
        <w:fldChar w:fldCharType="begin"/>
      </w:r>
      <w:r>
        <w:rPr>
          <w:sz w:val="13"/>
          <w:szCs w:val="13"/>
          <w:rFonts w:cs="GoudyTrajanRegular" w:ascii="GoudyTrajanRegular" w:hAnsi="GoudyTrajanRegular"/>
        </w:rPr>
        <w:instrText xml:space="preserve">ADVANCE \r 0</w:instrText>
      </w:r>
      <w:r>
        <w:rPr>
          <w:rFonts w:cs="GoudyTrajanRegular" w:ascii="GoudyTrajanRegular" w:hAnsi="GoudyTrajanRegular"/>
          <w:sz w:val="13"/>
          <w:szCs w:val="13"/>
        </w:rPr>
      </w:r>
      <w:r>
        <w:rPr>
          <w:sz w:val="13"/>
          <w:szCs w:val="13"/>
          <w:rFonts w:cs="GoudyTrajanRegular" w:ascii="GoudyTrajanRegular" w:hAnsi="GoudyTrajanRegular"/>
        </w:rPr>
        <w:fldChar w:fldCharType="separate"/>
      </w:r>
      <w:r>
        <w:rPr>
          <w:rFonts w:cs="GoudyTrajanRegular" w:ascii="GoudyTrajanRegular" w:hAnsi="GoudyTrajanRegular"/>
          <w:sz w:val="13"/>
          <w:szCs w:val="13"/>
        </w:rPr>
      </w:r>
      <w:r>
        <w:rPr>
          <w:rFonts w:cs="GoudyTrajanRegular" w:ascii="GoudyTrajanRegular" w:hAnsi="GoudyTrajanRegular"/>
          <w:sz w:val="13"/>
          <w:szCs w:val="13"/>
        </w:rPr>
      </w:r>
      <w:r>
        <w:rPr>
          <w:sz w:val="13"/>
          <w:szCs w:val="13"/>
          <w:rFonts w:cs="GoudyTrajanRegular" w:ascii="GoudyTrajanRegular" w:hAnsi="GoudyTrajanRegular"/>
        </w:rPr>
        <w:fldChar w:fldCharType="end"/>
      </w:r>
      <w:r>
        <w:rPr>
          <w:rFonts w:cs="GoudyTrajanRegular" w:ascii="GoudyTrajanRegular" w:hAnsi="GoudyTrajanRegular"/>
          <w:sz w:val="13"/>
          <w:szCs w:val="13"/>
        </w:rPr>
        <w:t>suite</w:t>
      </w:r>
      <w:r>
        <w:fldChar w:fldCharType="begin"/>
      </w:r>
      <w:r>
        <w:rPr>
          <w:sz w:val="13"/>
          <w:szCs w:val="13"/>
          <w:rFonts w:cs="GoudyTrajanRegular" w:ascii="GoudyTrajanRegular" w:hAnsi="GoudyTrajanRegular"/>
        </w:rPr>
        <w:instrText xml:space="preserve">ADVANCE \r 0</w:instrText>
      </w:r>
      <w:r>
        <w:rPr>
          <w:rFonts w:cs="GoudyTrajanRegular" w:ascii="GoudyTrajanRegular" w:hAnsi="GoudyTrajanRegular"/>
          <w:sz w:val="13"/>
          <w:szCs w:val="13"/>
        </w:rPr>
      </w:r>
      <w:r>
        <w:rPr>
          <w:sz w:val="13"/>
          <w:szCs w:val="13"/>
          <w:rFonts w:cs="GoudyTrajanRegular" w:ascii="GoudyTrajanRegular" w:hAnsi="GoudyTrajanRegular"/>
        </w:rPr>
        <w:fldChar w:fldCharType="separate"/>
      </w:r>
      <w:r>
        <w:rPr>
          <w:rFonts w:cs="GoudyTrajanRegular" w:ascii="GoudyTrajanRegular" w:hAnsi="GoudyTrajanRegular"/>
          <w:sz w:val="13"/>
          <w:szCs w:val="13"/>
        </w:rPr>
      </w:r>
      <w:r>
        <w:rPr>
          <w:rFonts w:cs="GoudyTrajanRegular" w:ascii="GoudyTrajanRegular" w:hAnsi="GoudyTrajanRegular"/>
          <w:sz w:val="13"/>
          <w:szCs w:val="13"/>
        </w:rPr>
      </w:r>
      <w:r>
        <w:rPr>
          <w:sz w:val="13"/>
          <w:szCs w:val="13"/>
          <w:rFonts w:cs="GoudyTrajanRegular" w:ascii="GoudyTrajanRegular" w:hAnsi="GoudyTrajanRegular"/>
        </w:rPr>
        <w:fldChar w:fldCharType="end"/>
      </w:r>
      <w:r>
        <w:rPr>
          <w:rFonts w:cs="GoudyTrajanRegular" w:ascii="GoudyTrajanRegular" w:hAnsi="GoudyTrajanRegular"/>
          <w:sz w:val="13"/>
          <w:szCs w:val="13"/>
        </w:rPr>
        <w:t xml:space="preserve"> 300</w:t>
      </w:r>
    </w:p>
    <w:p>
      <w:pPr>
        <w:pStyle w:val="Normal"/>
        <w:widowControl/>
        <w:jc w:val="center"/>
        <w:rPr>
          <w:rFonts w:ascii="GoudyTrajanBold" w:hAnsi="GoudyTrajanBold" w:cs="GoudyTrajanBold"/>
          <w:sz w:val="30"/>
          <w:szCs w:val="30"/>
        </w:rPr>
      </w:pPr>
      <w:r>
        <w:rPr>
          <w:rFonts w:cs="GoudyTrajanRegular" w:ascii="GoudyTrajanRegular" w:hAnsi="GoudyTrajanRegular"/>
          <w:sz w:val="13"/>
          <w:szCs w:val="13"/>
        </w:rPr>
        <w:t>WASHINGTON, D.C.  20006-5805</w:t>
      </w:r>
    </w:p>
    <w:p>
      <w:pPr>
        <w:pStyle w:val="Normal"/>
        <w:widowControl/>
        <w:jc w:val="both"/>
        <w:rPr>
          <w:rFonts w:ascii="GoudyTrajanBold" w:hAnsi="GoudyTrajanBold" w:cs="GoudyTrajanBold"/>
          <w:sz w:val="30"/>
          <w:szCs w:val="30"/>
        </w:rPr>
      </w:pPr>
      <w:r>
        <w:rPr>
          <w:rFonts w:cs="GoudyTrajanBold" w:ascii="GoudyTrajanBold" w:hAnsi="GoudyTrajanBold"/>
          <w:sz w:val="30"/>
          <w:szCs w:val="30"/>
        </w:rPr>
      </w:r>
    </w:p>
    <w:p>
      <w:pPr>
        <w:pStyle w:val="Normal"/>
        <w:widowControl/>
        <w:jc w:val="center"/>
        <w:rPr>
          <w:rFonts w:ascii="GoudyTrajanBold" w:hAnsi="GoudyTrajanBold" w:cs="GoudyTrajanBold"/>
          <w:sz w:val="30"/>
          <w:szCs w:val="30"/>
        </w:rPr>
      </w:pPr>
      <w:r>
        <w:rPr>
          <w:rFonts w:cs="GoudyTrajanBold" w:ascii="GoudyTrajanBold" w:hAnsi="GoudyTrajanBold"/>
          <w:sz w:val="30"/>
          <w:szCs w:val="30"/>
        </w:rPr>
        <w:t>CONFIDENTIAL</w:t>
      </w:r>
    </w:p>
    <w:p>
      <w:pPr>
        <w:pStyle w:val="Normal"/>
        <w:widowControl/>
        <w:jc w:val="center"/>
        <w:rPr>
          <w:rFonts w:ascii="GoudyTrajanBold" w:hAnsi="GoudyTrajanBold" w:cs="GoudyTrajanBold"/>
          <w:sz w:val="30"/>
          <w:szCs w:val="30"/>
        </w:rPr>
      </w:pPr>
      <w:r>
        <w:rPr>
          <w:rFonts w:cs="GoudyTrajanBold" w:ascii="GoudyTrajanBold" w:hAnsi="GoudyTrajanBold"/>
          <w:sz w:val="30"/>
          <w:szCs w:val="30"/>
        </w:rPr>
        <w:t>attorney-client privilege</w:t>
      </w:r>
    </w:p>
    <w:p>
      <w:pPr>
        <w:pStyle w:val="Normal"/>
        <w:widowControl/>
        <w:jc w:val="center"/>
        <w:rPr>
          <w:rFonts w:ascii="GoudyTrajanBold" w:hAnsi="GoudyTrajanBold" w:cs="GoudyTrajanBold"/>
          <w:sz w:val="30"/>
          <w:szCs w:val="30"/>
        </w:rPr>
      </w:pPr>
      <w:r>
        <w:rPr>
          <w:rFonts w:cs="GoudyTrajanBold" w:ascii="GoudyTrajanBold" w:hAnsi="GoudyTrajanBold"/>
          <w:sz w:val="30"/>
          <w:szCs w:val="30"/>
        </w:rPr>
        <w:t>attorney work product</w:t>
      </w:r>
    </w:p>
    <w:p>
      <w:pPr>
        <w:pStyle w:val="Normal"/>
        <w:widowControl/>
        <w:jc w:val="both"/>
        <w:rPr>
          <w:rFonts w:ascii="GoudyTrajanBold" w:hAnsi="GoudyTrajanBold" w:cs="GoudyTrajanBold"/>
          <w:sz w:val="30"/>
          <w:szCs w:val="30"/>
        </w:rPr>
      </w:pPr>
      <w:r>
        <w:rPr>
          <w:rFonts w:cs="GoudyTrajanBold" w:ascii="GoudyTrajanBold" w:hAnsi="GoudyTrajanBold"/>
          <w:sz w:val="30"/>
          <w:szCs w:val="30"/>
        </w:rPr>
      </w:r>
    </w:p>
    <w:p>
      <w:pPr>
        <w:pStyle w:val="Normal"/>
        <w:widowControl/>
        <w:jc w:val="center"/>
        <w:rPr>
          <w:rFonts w:ascii="EngraversGothic BT" w:hAnsi="EngraversGothic BT" w:cs="EngraversGothic BT"/>
          <w:szCs w:val="24"/>
        </w:rPr>
      </w:pPr>
      <w:r>
        <w:rPr>
          <w:rFonts w:cs="EngraversGothic BT" w:ascii="EngraversGothic BT" w:hAnsi="EngraversGothic BT"/>
          <w:sz w:val="30"/>
          <w:szCs w:val="30"/>
        </w:rPr>
        <w:t>memorandum</w:t>
      </w:r>
    </w:p>
    <w:p>
      <w:pPr>
        <w:pStyle w:val="Normal"/>
        <w:widowControl/>
        <w:jc w:val="both"/>
        <w:rPr>
          <w:rFonts w:ascii="EngraversGothic BT" w:hAnsi="EngraversGothic BT" w:cs="EngraversGothic BT"/>
          <w:szCs w:val="24"/>
        </w:rPr>
      </w:pPr>
      <w:r>
        <w:rPr>
          <w:rFonts w:cs="EngraversGothic BT" w:ascii="EngraversGothic BT" w:hAnsi="EngraversGothic BT"/>
          <w:szCs w:val="24"/>
        </w:rPr>
      </w:r>
    </w:p>
    <w:p>
      <w:pPr>
        <w:pStyle w:val="Normal"/>
        <w:widowControl/>
        <w:jc w:val="both"/>
        <w:rPr>
          <w:rFonts w:ascii="EngraversGothic BT" w:hAnsi="EngraversGothic BT" w:cs="EngraversGothic BT"/>
          <w:szCs w:val="24"/>
        </w:rPr>
      </w:pPr>
      <w:r>
        <w:rPr>
          <w:rFonts w:cs="EngraversGothic BT" w:ascii="EngraversGothic BT" w:hAnsi="EngraversGothic BT"/>
          <w:szCs w:val="24"/>
        </w:rPr>
      </w:r>
    </w:p>
    <w:tbl>
      <w:tblPr>
        <w:tblW w:w="9360" w:type="dxa"/>
        <w:jc w:val="start"/>
        <w:tblInd w:w="0" w:type="dxa"/>
        <w:tblLayout w:type="fixed"/>
        <w:tblCellMar>
          <w:top w:w="0" w:type="dxa"/>
          <w:start w:w="0" w:type="dxa"/>
          <w:bottom w:w="0" w:type="dxa"/>
          <w:end w:w="0" w:type="dxa"/>
        </w:tblCellMar>
      </w:tblPr>
      <w:tblGrid>
        <w:gridCol w:w="1440"/>
        <w:gridCol w:w="7920"/>
      </w:tblGrid>
      <w:tr>
        <w:trPr/>
        <w:tc>
          <w:tcPr>
            <w:tcW w:w="1440" w:type="dxa"/>
            <w:tcBorders>
              <w:top w:val="double" w:sz="8" w:space="0" w:color="000000"/>
            </w:tcBorders>
          </w:tcPr>
          <w:p>
            <w:pPr>
              <w:pStyle w:val="Normal"/>
              <w:widowControl/>
              <w:spacing w:before="105" w:after="57"/>
              <w:rPr>
                <w:szCs w:val="24"/>
              </w:rPr>
            </w:pPr>
            <w:r>
              <w:rPr>
                <w:rFonts w:cs="EngraversGothic BT" w:ascii="EngraversGothic BT" w:hAnsi="EngraversGothic BT"/>
                <w:szCs w:val="24"/>
              </w:rPr>
              <w:t>TO:</w:t>
            </w:r>
          </w:p>
        </w:tc>
        <w:tc>
          <w:tcPr>
            <w:tcW w:w="7920" w:type="dxa"/>
            <w:tcBorders>
              <w:top w:val="double" w:sz="8" w:space="0" w:color="000000"/>
            </w:tcBorders>
          </w:tcPr>
          <w:p>
            <w:pPr>
              <w:pStyle w:val="Normal"/>
              <w:widowControl/>
              <w:spacing w:before="105" w:after="57"/>
              <w:rPr>
                <w:szCs w:val="24"/>
              </w:rPr>
            </w:pPr>
            <w:r>
              <w:rPr>
                <w:szCs w:val="24"/>
              </w:rPr>
              <w:t>Lance Schuler, Esquire</w:t>
            </w:r>
          </w:p>
        </w:tc>
      </w:tr>
      <w:tr>
        <w:trPr/>
        <w:tc>
          <w:tcPr>
            <w:tcW w:w="1440" w:type="dxa"/>
            <w:tcBorders/>
          </w:tcPr>
          <w:p>
            <w:pPr>
              <w:pStyle w:val="Normal"/>
              <w:widowControl/>
              <w:spacing w:before="105" w:after="57"/>
              <w:rPr>
                <w:szCs w:val="24"/>
              </w:rPr>
            </w:pPr>
            <w:r>
              <w:rPr>
                <w:rFonts w:cs="EngraversGothic BT" w:ascii="EngraversGothic BT" w:hAnsi="EngraversGothic BT"/>
                <w:szCs w:val="24"/>
              </w:rPr>
              <w:t>FROM:</w:t>
            </w:r>
          </w:p>
        </w:tc>
        <w:tc>
          <w:tcPr>
            <w:tcW w:w="7920" w:type="dxa"/>
            <w:tcBorders/>
          </w:tcPr>
          <w:p>
            <w:pPr>
              <w:pStyle w:val="Normal"/>
              <w:widowControl/>
              <w:spacing w:before="105" w:after="0"/>
              <w:rPr>
                <w:szCs w:val="24"/>
              </w:rPr>
            </w:pPr>
            <w:r>
              <w:rPr>
                <w:szCs w:val="24"/>
              </w:rPr>
              <w:t>Thomas R. Kline</w:t>
            </w:r>
          </w:p>
          <w:p>
            <w:pPr>
              <w:pStyle w:val="Normal"/>
              <w:widowControl/>
              <w:rPr>
                <w:szCs w:val="24"/>
              </w:rPr>
            </w:pPr>
            <w:r>
              <w:rPr>
                <w:szCs w:val="24"/>
              </w:rPr>
              <w:t>Elaine L. Farris</w:t>
            </w:r>
          </w:p>
          <w:p>
            <w:pPr>
              <w:pStyle w:val="Normal"/>
              <w:widowControl/>
              <w:spacing w:before="0" w:after="57"/>
              <w:rPr>
                <w:szCs w:val="24"/>
              </w:rPr>
            </w:pPr>
            <w:r>
              <w:rPr>
                <w:szCs w:val="24"/>
              </w:rPr>
              <w:t>Chris Cobb</w:t>
            </w:r>
          </w:p>
        </w:tc>
      </w:tr>
      <w:tr>
        <w:trPr/>
        <w:tc>
          <w:tcPr>
            <w:tcW w:w="1440" w:type="dxa"/>
            <w:tcBorders/>
          </w:tcPr>
          <w:p>
            <w:pPr>
              <w:pStyle w:val="Normal"/>
              <w:widowControl/>
              <w:spacing w:before="105" w:after="57"/>
              <w:rPr>
                <w:szCs w:val="24"/>
              </w:rPr>
            </w:pPr>
            <w:r>
              <w:rPr>
                <w:rFonts w:cs="EngraversGothic BT" w:ascii="EngraversGothic BT" w:hAnsi="EngraversGothic BT"/>
                <w:szCs w:val="24"/>
              </w:rPr>
              <w:t>DATE:</w:t>
            </w:r>
          </w:p>
        </w:tc>
        <w:tc>
          <w:tcPr>
            <w:tcW w:w="7920" w:type="dxa"/>
            <w:tcBorders/>
          </w:tcPr>
          <w:p>
            <w:pPr>
              <w:pStyle w:val="Normal"/>
              <w:widowControl/>
              <w:spacing w:before="105" w:after="57"/>
              <w:rPr>
                <w:szCs w:val="24"/>
              </w:rPr>
            </w:pPr>
            <w:r>
              <w:rPr>
                <w:szCs w:val="24"/>
              </w:rPr>
              <w:t>July 11, 2001</w:t>
            </w:r>
          </w:p>
        </w:tc>
      </w:tr>
      <w:tr>
        <w:trPr/>
        <w:tc>
          <w:tcPr>
            <w:tcW w:w="1440" w:type="dxa"/>
            <w:tcBorders>
              <w:bottom w:val="double" w:sz="8" w:space="0" w:color="000000"/>
            </w:tcBorders>
          </w:tcPr>
          <w:p>
            <w:pPr>
              <w:pStyle w:val="Normal"/>
              <w:widowControl/>
              <w:spacing w:before="105" w:after="57"/>
              <w:rPr>
                <w:szCs w:val="24"/>
              </w:rPr>
            </w:pPr>
            <w:r>
              <w:rPr>
                <w:rFonts w:cs="EngraversGothic BT" w:ascii="EngraversGothic BT" w:hAnsi="EngraversGothic BT"/>
                <w:szCs w:val="24"/>
              </w:rPr>
              <w:t>SUBJECT:</w:t>
            </w:r>
          </w:p>
        </w:tc>
        <w:tc>
          <w:tcPr>
            <w:tcW w:w="7920" w:type="dxa"/>
            <w:tcBorders>
              <w:bottom w:val="double" w:sz="8" w:space="0" w:color="000000"/>
            </w:tcBorders>
          </w:tcPr>
          <w:p>
            <w:pPr>
              <w:pStyle w:val="Normal"/>
              <w:widowControl/>
              <w:spacing w:before="105" w:after="57"/>
              <w:rPr/>
            </w:pPr>
            <w:r>
              <w:rPr>
                <w:szCs w:val="24"/>
              </w:rPr>
              <w:t xml:space="preserve">Assessment of Risk Associated with </w:t>
            </w:r>
            <w:r>
              <w:rPr>
                <w:i/>
                <w:iCs/>
                <w:szCs w:val="24"/>
              </w:rPr>
              <w:t>Brooklyn Navy Yard Cogeneration Partners, L.P. v. PMNC, a Joint Venture, et al.</w:t>
            </w:r>
            <w:r>
              <w:rPr>
                <w:szCs w:val="24"/>
              </w:rPr>
              <w:t xml:space="preserve"> </w:t>
            </w:r>
          </w:p>
        </w:tc>
      </w:tr>
    </w:tbl>
    <w:p>
      <w:pPr>
        <w:pStyle w:val="BodyTextFirstIndent"/>
        <w:widowControl/>
        <w:rPr/>
      </w:pPr>
      <w:r>
        <w:rPr/>
        <w:tab/>
      </w:r>
    </w:p>
    <w:p>
      <w:pPr>
        <w:pStyle w:val="BodyTextFirstIndent"/>
        <w:widowControl/>
        <w:jc w:val="both"/>
        <w:rPr/>
      </w:pPr>
      <w:bookmarkStart w:id="0" w:name="Start_32_Memo_32_Here"/>
      <w:bookmarkEnd w:id="0"/>
      <w:r>
        <w:rPr/>
        <w:t>You have asked us to analyze the available record concerning the litigation presently pending in the Supreme Court of the State of New York, Kings County, between Brooklyn Navy Yard Cogeneration Partners, L.P., (“BNYCP”) and related parties and PMNC, a Joint Venture, (“PMNC”) and related parties (the “Litigation”) and to provide you with our best judgment concerning the likely exposure faced by BNYCP in the Litigation.</w:t>
      </w:r>
    </w:p>
    <w:p>
      <w:pPr>
        <w:pStyle w:val="BodyTextFirstIndent"/>
        <w:widowControl/>
        <w:jc w:val="both"/>
        <w:rPr/>
      </w:pPr>
      <w:r>
        <w:rPr/>
        <w:t>In answering this question, we have relied on: (1) several conversations with lawyers representing BNYCP in the Litigation; (2) a review of the pleadings, briefs, and other documents contained in the two appellate records that this case has generated, one in California and one in New York; (3) a review of applicable New York law; and (4) a conversation with Mark Irwin, a Mission Energy New York, Inc. (“MENY”) official with extensive knowledge of the construction project.  Attached as Exhibit A is a list of the principal documents upon which our risk assessment is based.</w:t>
      </w:r>
    </w:p>
    <w:p>
      <w:pPr>
        <w:pStyle w:val="BodyTextFirstIndent"/>
        <w:widowControl/>
        <w:jc w:val="both"/>
        <w:rPr>
          <w:szCs w:val="24"/>
        </w:rPr>
      </w:pPr>
      <w:r>
        <w:rPr>
          <w:szCs w:val="24"/>
        </w:rPr>
        <w:t>We also note that this is a very complex, fact-intensive case, which, as a result of the appeals taken by the parties, is still in the early stages of discovery.  To date, no party has issued interrogatories or requests for admissions.  Only eight of the approximately sixty identified witnesses have been deposed, and each of those eight depositions remains open for further examination.  Moreover, counsel for BNYCP have not provided the transcripts of those depositions for our review because they are prevented from doing so under the terms of a confidentiality order.  Accordingly, a substantial portion of the legal argument and factual evidence upon which the ultimate outcome of this case will hinge has either yet to be adduced or is unavailable to us.  In addition, counsel for BNYCP have stated that they are not yet aware of the evidence on which PMNC will rely for much of its case.</w:t>
      </w:r>
    </w:p>
    <w:p>
      <w:pPr>
        <w:pStyle w:val="BodyTextFirstIndent"/>
        <w:widowControl/>
        <w:jc w:val="both"/>
        <w:rPr>
          <w:szCs w:val="24"/>
        </w:rPr>
      </w:pPr>
      <w:r>
        <w:rPr>
          <w:szCs w:val="24"/>
        </w:rPr>
        <w:t>In this memorandum, we provide a brief overview of the Litigation, an analysis of the factual and legal basis for each of the parties’ principal claims, and, to the extent we are able to do so with the information available, our assessment of BNYCP’s financial exposure as a result of the Litigation.</w:t>
      </w:r>
    </w:p>
    <w:p>
      <w:pPr>
        <w:pStyle w:val="Heading"/>
        <w:rPr>
          <w:b/>
          <w:bCs w:val="false"/>
          <w:u w:val="none"/>
        </w:rPr>
      </w:pPr>
      <w:r>
        <w:rPr>
          <w:b/>
          <w:bCs w:val="false"/>
          <w:u w:val="none"/>
        </w:rPr>
        <w:t>I.</w:t>
        <w:tab/>
        <w:t>PARTIES AND COUNSEL</w:t>
      </w:r>
    </w:p>
    <w:p>
      <w:pPr>
        <w:pStyle w:val="BodyTextFirstIndent"/>
        <w:widowControl/>
        <w:jc w:val="both"/>
        <w:rPr/>
      </w:pPr>
      <w:r>
        <w:rPr/>
        <w:t>On February 4, 1997, The Parsons Corporation (“Parsons”) and PMNC sued BNYCP, MENY, and B-41 Associates, L.P.</w:t>
      </w:r>
      <w:r>
        <w:rPr>
          <w:rStyle w:val="FootnoteCharacters"/>
          <w:rStyle w:val="FootnoteReference"/>
        </w:rPr>
        <w:footnoteReference w:id="2"/>
      </w:r>
      <w:r>
        <w:rPr/>
        <w:t xml:space="preserve"> (“York”) in California (the “California Case”).  The California Case involves the same dispute that is the subject of the New York proceeding and has been stayed pending the outcome of the Litigation.</w:t>
      </w:r>
      <w:r>
        <w:rPr>
          <w:rStyle w:val="FootnoteCharacters"/>
          <w:rStyle w:val="FootnoteReference"/>
        </w:rPr>
        <w:footnoteReference w:id="3"/>
      </w:r>
    </w:p>
    <w:p>
      <w:pPr>
        <w:pStyle w:val="BodyTextFirstIndent"/>
        <w:widowControl/>
        <w:jc w:val="both"/>
        <w:rPr/>
      </w:pPr>
      <w:r>
        <w:rPr/>
        <w:t>On February 20, 1997, BNYCP filed suit in New York against Defendants PMNC, Parsons Main of New York, Inc. (“Parson’s Main”), NAB Construction Corporation (“NAB”), L.K. Comstock &amp; Company, Inc. (“Comstock”) and Parsons (collectively, “Defendants”).  Defendants filed a cross claim against MENY and York.  Enron is concerned about this litigation because it is negotiating to purchase a 50% interest in BNYCP by acquiring all of the stock of MENY, which is a 5% general partner and 45% limited partner of BNYCP.</w:t>
      </w:r>
    </w:p>
    <w:p>
      <w:pPr>
        <w:pStyle w:val="BodyTextFirstIndent"/>
        <w:widowControl/>
        <w:jc w:val="both"/>
        <w:rPr/>
      </w:pPr>
      <w:r>
        <w:rPr/>
        <w:t>BNYCP was initially represented by LeBoeuf, Lamb, Greene &amp; MacRae, L.L.P. (“LeBoeuf Lamb”).  In the Spring of 2000, Friedman, Wang &amp; Bleiberg, P.C. (“Friedman Wang”) became involved to assist BNYCP in taking a more aggressive posture in the litigation.  Friedman Wang now seems primarily responsible for handling of the case, although LeBoeuf Lamb is still of record.  Defendants are represented by the New York firms Schulte Roth &amp; Zabel L.L.P. and Postner &amp; Rubin.</w:t>
      </w:r>
    </w:p>
    <w:p>
      <w:pPr>
        <w:pStyle w:val="Heading"/>
        <w:widowControl/>
        <w:jc w:val="both"/>
        <w:rPr>
          <w:b/>
          <w:bCs w:val="false"/>
          <w:u w:val="none"/>
        </w:rPr>
      </w:pPr>
      <w:r>
        <w:rPr>
          <w:b/>
          <w:bCs w:val="false"/>
          <w:u w:val="none"/>
        </w:rPr>
        <w:t>II.</w:t>
        <w:tab/>
        <w:t>FACTUAL SUMMARY</w:t>
      </w:r>
    </w:p>
    <w:p>
      <w:pPr>
        <w:pStyle w:val="BodyTextFirstIndent"/>
        <w:widowControl/>
        <w:jc w:val="both"/>
        <w:rPr/>
      </w:pPr>
      <w:r>
        <w:rPr/>
        <w:t xml:space="preserve">BNYCP and PMNC were parties to a Turnkey Agreement for the Brooklyn Navy Yard Cogeneration Project (the “Contract”) which required PMNC to, </w:t>
      </w:r>
      <w:r>
        <w:rPr>
          <w:i/>
          <w:iCs/>
        </w:rPr>
        <w:t>inter alia</w:t>
      </w:r>
      <w:r>
        <w:rPr/>
        <w:t>, design and construct a 286 MW, combined cycle cogeneration facility (the “Facility”) in Brooklyn, New York.</w:t>
      </w:r>
      <w:r>
        <w:rPr>
          <w:rStyle w:val="FootnoteCharacters"/>
          <w:rStyle w:val="FootnoteReference"/>
        </w:rPr>
        <w:footnoteReference w:id="4"/>
      </w:r>
      <w:r>
        <w:rPr/>
        <w:t xml:space="preserve">  The Contract required PMNC to construct the Facility on a fast track, turnkey basis, and entitled PMNC to performance bonuses for meeting certain key deadlines under the Contract.  Conversely, the Contract entitled BNYCP to liquidated damages in the event PMNC failed to meet those deadlines (“Delay Liquidated Damages”).</w:t>
      </w:r>
      <w:r>
        <w:rPr>
          <w:rStyle w:val="FootnoteCharacters"/>
          <w:rStyle w:val="FootnoteReference"/>
        </w:rPr>
        <w:footnoteReference w:id="5"/>
      </w:r>
      <w:r>
        <w:rPr/>
        <w:t xml:space="preserve"> </w:t>
      </w:r>
    </w:p>
    <w:p>
      <w:pPr>
        <w:pStyle w:val="BodyTextFirstIndent"/>
        <w:widowControl/>
        <w:jc w:val="both"/>
        <w:rPr/>
      </w:pPr>
      <w:r>
        <w:rPr/>
        <w:t xml:space="preserve">Under the Contract, the Facility was to pass a “Capacity Performance Test” on November 30, 1995 (the “Capacity Performance Date”) and was scheduled for “Turnover” by May 31, 1996.  </w:t>
      </w:r>
      <w:r>
        <w:rPr>
          <w:szCs w:val="24"/>
          <w:lang w:val="en-CA"/>
        </w:rPr>
      </w:r>
      <w:r>
        <w:rPr>
          <w:szCs w:val="24"/>
        </w:rPr>
        <w:t xml:space="preserve">Turnover means “that the Facility shall have achieved all the conditions set forth in Section 9.1” of the Contract.  Those conditions include: (a) completion of Performance Tests after meeting certain other pre-conditions; (b) the submission of a “Punch List” containing items to be completed that, </w:t>
      </w:r>
      <w:r>
        <w:rPr>
          <w:i/>
          <w:iCs/>
          <w:szCs w:val="24"/>
        </w:rPr>
        <w:t>inter alia</w:t>
      </w:r>
      <w:r>
        <w:rPr>
          <w:szCs w:val="24"/>
        </w:rPr>
        <w:t>, “do not have an estimated value in excess of Three Million Dollars ($3,000,000)” or “affect the safety” of the Facility; “all Government approvals required by this Turnkey Agreement to be obtained by Contractor have been obtained;” and (d) a showing that “all Work, except for Punch List items, is complete, operating as designed, and operating from the main control room without temporary hookup or jumpers.”</w:t>
      </w:r>
      <w:r>
        <w:rPr/>
        <w:t xml:space="preserve">  The Contract provided for permissible delays extending the final date for Turnover and “Final Acceptance” to no later than January 31, 1997.</w:t>
      </w:r>
    </w:p>
    <w:p>
      <w:pPr>
        <w:pStyle w:val="BodyTextFirstIndent"/>
        <w:widowControl/>
        <w:jc w:val="both"/>
        <w:rPr/>
      </w:pPr>
      <w:r>
        <w:rPr/>
        <w:t>For reasons that are the subject of the Litigation, construction of the Facility was delayed and PMNC did not demonstrate Capacity Performance until March 17, 1996 (more than three months after the Capacity Performance Date).  Also, PMNC did not purportedly reach Turnover until August 15, 1996 (two and one-half months after the Schedule Date).  While  BNYCP claims that PMNC never achieved Turnover, it does not dispute the fact that commercial sales of power began on or about November 1, 1996.  Counsel for BNYCP inform us that, even after BNYCP began operation of the Facility, it is BNYCP’s position that Turnover did not occur because PMNC did not bring the Facility up to Contract standards.</w:t>
      </w:r>
    </w:p>
    <w:p>
      <w:pPr>
        <w:pStyle w:val="BodyTextFirstIndent"/>
        <w:widowControl/>
        <w:jc w:val="both"/>
        <w:rPr/>
      </w:pPr>
      <w:r>
        <w:rPr/>
        <w:t xml:space="preserve"> </w:t>
      </w:r>
      <w:r>
        <w:rPr/>
        <w:t>The original contract price of $253 million was increased by $20 million for written change orders.  In all, BNYCP paid PMNC approximately $230 million of the $273 million that would have been due to PMNC under the Contract.</w:t>
      </w:r>
    </w:p>
    <w:p>
      <w:pPr>
        <w:pStyle w:val="BodyTextFirstIndent"/>
        <w:widowControl/>
        <w:jc w:val="both"/>
        <w:rPr/>
      </w:pPr>
      <w:r>
        <w:rPr/>
        <w:t xml:space="preserve">In May 1996, BNYCP began to exercise its contractual right to offset its payments to PMNC based primarily on BNYCP’s claim that PMNC was liable for Delay Liquidated Damages.  BNYCP also based its offset of payments on the costs it claims to have incurred in repairing PMNC’s defective or incomplete work under the Contract.  On January 31, 1997, BNYCP terminated the Contract based on PMNC’s alleged poor performance and failure to complete the Facility on time. On that same date, BNYCP drew down an $11.8 million letter of credit to pay for repairs allegedly needed to remedy defective or incomplete work.  The total amount offset by BNYCP is approximately $43 million, and this amount includes the draw down of the $11.8 million letter of credit. </w:t>
      </w:r>
    </w:p>
    <w:p>
      <w:pPr>
        <w:pStyle w:val="Heading"/>
        <w:widowControl/>
        <w:jc w:val="both"/>
        <w:rPr>
          <w:b/>
          <w:bCs w:val="false"/>
          <w:u w:val="none"/>
        </w:rPr>
      </w:pPr>
      <w:r>
        <w:rPr>
          <w:b/>
          <w:bCs w:val="false"/>
          <w:u w:val="none"/>
        </w:rPr>
      </w:r>
    </w:p>
    <w:p>
      <w:pPr>
        <w:pStyle w:val="Heading"/>
        <w:widowControl/>
        <w:jc w:val="both"/>
        <w:rPr>
          <w:b/>
          <w:bCs w:val="false"/>
          <w:u w:val="none"/>
        </w:rPr>
      </w:pPr>
      <w:r>
        <w:rPr>
          <w:b/>
          <w:bCs w:val="false"/>
          <w:u w:val="none"/>
        </w:rPr>
        <w:t>III.</w:t>
        <w:tab/>
        <w:t>SUMMARY OF CLAIMS IN THE LITIGATION</w:t>
      </w:r>
    </w:p>
    <w:p>
      <w:pPr>
        <w:pStyle w:val="Heading1"/>
        <w:widowControl/>
        <w:jc w:val="both"/>
        <w:rPr/>
      </w:pPr>
      <w:r>
        <w:rPr/>
        <w:t xml:space="preserve">A. </w:t>
        <w:tab/>
      </w:r>
      <w:r>
        <w:rPr>
          <w:u w:val="single"/>
        </w:rPr>
        <w:t>BNYCP’s Claims</w:t>
      </w:r>
    </w:p>
    <w:p>
      <w:pPr>
        <w:pStyle w:val="BodyTextFirstIndent"/>
        <w:widowControl/>
        <w:jc w:val="both"/>
        <w:rPr/>
      </w:pPr>
      <w:r>
        <w:rPr/>
        <w:t xml:space="preserve">BNYCP has three primary claims.  First, BNYCP claims that it is entitled to $56 million in damages as a result of PMNC work that was late, defective, and/or incomplete.  In this claim, BNYCP seeks: (1) a declaratory judgment that it is entitled to keep the $43 million it has offset from payments originally due to PMNC under the Contract and (2) $13 million in damages to cover BNYCP’s costs over and above the amount it offset.  </w:t>
      </w:r>
    </w:p>
    <w:p>
      <w:pPr>
        <w:pStyle w:val="BodyTextFirstIndent"/>
        <w:widowControl/>
        <w:jc w:val="both"/>
        <w:rPr/>
      </w:pPr>
      <w:r>
        <w:rPr/>
        <w:t xml:space="preserve">In its second claim, BNYCP alleges that leaks in heat recovery steam generator (“HRSG”) tubes caused by defects and by flow assisted corrosion and erosion will have to be repaired at considerable expense and seeks further damages in an amount of $32.8 million. </w:t>
      </w:r>
    </w:p>
    <w:p>
      <w:pPr>
        <w:pStyle w:val="BodyTextFirstIndent"/>
        <w:widowControl/>
        <w:jc w:val="both"/>
        <w:rPr/>
      </w:pPr>
      <w:r>
        <w:rPr/>
        <w:t>Lastly, BNYCP seeks to enforce Parsons’ November 1, 1994, guaranty agreement in which Parsons guaranteed the performance and payment of all of PMNC’s obligations under the Contract.  BNYCP’s Complaint sets forth two counts concerning Parsons’ guaranty: one for $13 million for damages over and above the offset amount and one for $32.8 million in damages pursuant to the HRSG claims.  Parsons contends that it is not obligated under the terms of its guaranty, but has provided no explanation as to why.  Presumably, Parsons will argue that is not liable because PMNC is not liable in the first instance.</w:t>
      </w:r>
    </w:p>
    <w:p>
      <w:pPr>
        <w:pStyle w:val="BodyTextFirstIndent"/>
        <w:widowControl/>
        <w:jc w:val="both"/>
        <w:rPr/>
      </w:pPr>
      <w:r>
        <w:rPr/>
        <w:t>In all, BNYCP’s claims for damages are composed of the following elements: (1) defective work; (2) incomplete work; (3) “Punch List” items;</w:t>
      </w:r>
      <w:r>
        <w:rPr>
          <w:rStyle w:val="FootnoteCharacters"/>
          <w:rStyle w:val="FootnoteReference"/>
        </w:rPr>
        <w:footnoteReference w:id="6"/>
      </w:r>
      <w:r>
        <w:rPr/>
        <w:t xml:space="preserve"> (4) Delay Liquidated Damages pursuant to PMNC’s delay in meeting the Capacity Performance Test; (5) Delay Liquidated Damages for PMNC’s delay in meeting Turnover and Final Acceptance; and (6) Site Utilities and Fuel Use supplied by BNYCP that PMNC was to provide for itself.</w:t>
      </w:r>
      <w:r>
        <w:rPr>
          <w:rStyle w:val="FootnoteCharacters"/>
          <w:rStyle w:val="FootnoteReference"/>
        </w:rPr>
        <w:footnoteReference w:id="7"/>
      </w:r>
      <w:r>
        <w:rPr/>
        <w:t xml:space="preserve"> We have attempted to develop as clear an understanding as possible about each of these elements, as follows.</w:t>
      </w:r>
    </w:p>
    <w:p>
      <w:pPr>
        <w:pStyle w:val="Heading2"/>
        <w:widowControl/>
        <w:jc w:val="both"/>
        <w:rPr/>
      </w:pPr>
      <w:r>
        <w:rPr/>
        <w:t xml:space="preserve">1. </w:t>
        <w:tab/>
      </w:r>
      <w:r>
        <w:rPr>
          <w:i/>
          <w:iCs w:val="false"/>
        </w:rPr>
        <w:t>Defective Work</w:t>
      </w:r>
    </w:p>
    <w:p>
      <w:pPr>
        <w:pStyle w:val="BodyTextFirstIndent"/>
        <w:widowControl/>
        <w:jc w:val="both"/>
        <w:rPr/>
      </w:pPr>
      <w:r>
        <w:rPr/>
        <w:t xml:space="preserve">BNYCP claims that it incurred costs of $6.3 million in repairing PMNC’s allegedly defective work.  Although BNYCP identifies several hundred items that it claims are defective, most of these items do not reference any express Contract requirement or specification.  As a result, it appears that BNYCP may be alleging damages for work that PMNC was not obligated to perform.  In addition, Mark Irwin has informed us that a significant portion of the repairs were never performed.  Thus, it appears from the information available to us that this claim may be considerably overstated.   </w:t>
      </w:r>
    </w:p>
    <w:p>
      <w:pPr>
        <w:pStyle w:val="BodyTextFirstIndent"/>
        <w:widowControl/>
        <w:jc w:val="both"/>
        <w:rPr/>
      </w:pPr>
      <w:r>
        <w:rPr/>
        <w:tab/>
        <w:t>2.</w:t>
        <w:tab/>
      </w:r>
      <w:r>
        <w:rPr>
          <w:i/>
          <w:iCs/>
        </w:rPr>
        <w:t>Incomplete Work</w:t>
      </w:r>
    </w:p>
    <w:p>
      <w:pPr>
        <w:pStyle w:val="BodyTextFirstIndent"/>
        <w:widowControl/>
        <w:jc w:val="both"/>
        <w:rPr/>
      </w:pPr>
      <w:r>
        <w:rPr/>
        <w:t xml:space="preserve">BNYCP’s claim for $10.5 million in damages due to incomplete work at the Facility appears to be overstated for precisely the same reasons as the claim for defective work.  </w:t>
      </w:r>
    </w:p>
    <w:p>
      <w:pPr>
        <w:pStyle w:val="BodyTextFirstIndent"/>
        <w:widowControl/>
        <w:jc w:val="both"/>
        <w:rPr/>
      </w:pPr>
      <w:r>
        <w:rPr/>
        <w:tab/>
        <w:t>3.</w:t>
        <w:tab/>
      </w:r>
      <w:r>
        <w:rPr>
          <w:i/>
          <w:iCs/>
        </w:rPr>
        <w:t>Punch List Items</w:t>
      </w:r>
    </w:p>
    <w:p>
      <w:pPr>
        <w:pStyle w:val="BodyTextFirstIndent"/>
        <w:widowControl/>
        <w:jc w:val="both"/>
        <w:rPr/>
      </w:pPr>
      <w:r>
        <w:rPr/>
        <w:t xml:space="preserve">The Punch List is a particularly significant issue in this case because the Contract provides that Turnover cannot be achieved if, among other things, the estimated value of the Punch List exceeds $3 million.  </w:t>
      </w:r>
    </w:p>
    <w:p>
      <w:pPr>
        <w:pStyle w:val="BodyTextFirstIndent"/>
        <w:widowControl/>
        <w:jc w:val="both"/>
        <w:rPr/>
      </w:pPr>
      <w:r>
        <w:rPr/>
        <w:t>BNYCP contends that it is entitled to $4.4 million for addressing Punch List items which PMNC did not complete, as demonstrated in the “Final Punch List,” which BNYCP sent to PMNC shortly after PMNC alleged to have achieved Turnover in August 1996.  Although BNYCP’s Punch List contains over 1600 of these items, the Punch List appears to contain duplicitous items and work that the Contract does not require.  PMNC valued the Punch List at about $696,000 at Turnover,</w:t>
      </w:r>
      <w:r>
        <w:rPr>
          <w:rStyle w:val="FootnoteCharacters"/>
          <w:rStyle w:val="FootnoteReference"/>
        </w:rPr>
        <w:footnoteReference w:id="8"/>
      </w:r>
      <w:r>
        <w:rPr/>
        <w:t xml:space="preserve"> and Mark Irwin indicated that he valued the Punch List at well below $3 million by the time BNYCP began commercial operation of the Facility on November 1, 1996. </w:t>
      </w:r>
    </w:p>
    <w:p>
      <w:pPr>
        <w:pStyle w:val="Heading2"/>
        <w:widowControl/>
        <w:rPr/>
      </w:pPr>
      <w:r>
        <w:rPr/>
        <w:t>4.</w:t>
        <w:tab/>
      </w:r>
      <w:r>
        <w:rPr>
          <w:i/>
          <w:iCs w:val="false"/>
        </w:rPr>
        <w:t>Delay Liquidated Damages – Capacity Performance</w:t>
      </w:r>
    </w:p>
    <w:p>
      <w:pPr>
        <w:pStyle w:val="BodyTextFirstIndent"/>
        <w:widowControl/>
        <w:jc w:val="both"/>
        <w:rPr/>
      </w:pPr>
      <w:r>
        <w:rPr/>
        <w:t xml:space="preserve">The Contract required the Facility to achieve the 170 MW Capacity Performance on or before November 30, 1995, and BNYCP claims that this benchmark was not met until March 17, 1996.  Section 31.1 of the Contract limits BNYCP to $96,000 per day for Delay Liquidated Damages, capped at $3 million for Delay Liquidated Damages for PMNC’s delay in meeting the Capacity Performance Test, and $3 million is the amount BNYCP claims.  This seems like a reasonable amount given the fact that BNYCP would have been entitled to roughly $10 million if Delay Liquidated Damages were not capped.  </w:t>
      </w:r>
    </w:p>
    <w:p>
      <w:pPr>
        <w:pStyle w:val="Heading2"/>
        <w:widowControl/>
        <w:jc w:val="both"/>
        <w:rPr/>
      </w:pPr>
      <w:r>
        <w:rPr/>
        <w:t>5.</w:t>
        <w:tab/>
      </w:r>
      <w:r>
        <w:rPr>
          <w:i/>
          <w:iCs w:val="false"/>
        </w:rPr>
        <w:t>Delay Liquidated Damages – Turnover and Final Acceptance</w:t>
      </w:r>
    </w:p>
    <w:p>
      <w:pPr>
        <w:pStyle w:val="BodyTextFirstIndent"/>
        <w:widowControl/>
        <w:jc w:val="both"/>
        <w:rPr/>
      </w:pPr>
      <w:r>
        <w:rPr/>
        <w:t xml:space="preserve">BNYCP claims to be entitled to $96,000 per day for Delay Liquidated Damages for PMNC’s delay in meeting Turnover and Final Acceptance (which were initially set for May 31, 1996, but could be extended).  The Contract sets no limit for Delay Liquidated Damages in this category.  BNYCP seeks $24 million for PMNC’s failure to timely achieve Turnover, alleging that PMNC never reached Turnover because of defects in the Facility and the extensive Punch List.  Thus, BNYCP’s claim includes Delay Liquidated Damages from the date scheduled for Turnover (May 31, 1996) until it terminated the Contract on January 31, 1997.  </w:t>
      </w:r>
    </w:p>
    <w:p>
      <w:pPr>
        <w:pStyle w:val="BodyTextFirstIndent"/>
        <w:widowControl/>
        <w:jc w:val="both"/>
        <w:rPr/>
      </w:pPr>
      <w:r>
        <w:rPr/>
        <w:t>PMNC argues that BNYCP is estopped from claiming Delay Liquidated Damages because BNYCP is responsible for the delay.</w:t>
      </w:r>
      <w:r>
        <w:rPr>
          <w:rStyle w:val="FootnoteCharacters"/>
          <w:rStyle w:val="FootnoteReference"/>
        </w:rPr>
        <w:footnoteReference w:id="9"/>
      </w:r>
      <w:r>
        <w:rPr/>
        <w:t xml:space="preserve">  PMNC also contends that, even if BNYCP is entitled to Delay Liquidated Damages, it should not recover for liquidated damages after it began operating the plant and selling power on November 1, 1996.</w:t>
      </w:r>
      <w:r>
        <w:rPr>
          <w:rStyle w:val="FootnoteCharacters"/>
          <w:rStyle w:val="FootnoteReference"/>
        </w:rPr>
        <w:footnoteReference w:id="10"/>
      </w:r>
      <w:r>
        <w:rPr/>
        <w:t xml:space="preserve">  </w:t>
      </w:r>
    </w:p>
    <w:p>
      <w:pPr>
        <w:pStyle w:val="BodyTextFirstIndent"/>
        <w:widowControl/>
        <w:jc w:val="both"/>
        <w:rPr/>
      </w:pPr>
      <w:r>
        <w:rPr/>
        <w:t xml:space="preserve">BNYCP’s claim for Turnover Delay Liquidated Damages turns primarily upon whether and when PMNC brought the Facility into compliance with the Contract’s requirements for Turnover.  In this regard, Mark Irwin’s opinion is that PMNC achieved Turnover on November 1, 1996.  Assuming that no time extensions are granted, Delay Liquidated Damages based on these dates total roughly $14 million. </w:t>
      </w:r>
    </w:p>
    <w:p>
      <w:pPr>
        <w:pStyle w:val="Heading2"/>
        <w:widowControl/>
        <w:jc w:val="both"/>
        <w:rPr/>
      </w:pPr>
      <w:r>
        <w:rPr/>
        <w:t>6.</w:t>
        <w:tab/>
      </w:r>
      <w:r>
        <w:rPr>
          <w:i/>
          <w:iCs w:val="false"/>
        </w:rPr>
        <w:t>Site Utilities and Fuel Use</w:t>
      </w:r>
    </w:p>
    <w:p>
      <w:pPr>
        <w:pStyle w:val="BodyTextFirstIndent"/>
        <w:widowControl/>
        <w:jc w:val="both"/>
        <w:rPr/>
      </w:pPr>
      <w:r>
        <w:rPr/>
        <w:t>BNYCP claims $10.7 million in damages for site utilities and fuel use, pursuant to section 17.2 of the Contract.  PMNC disputes this allegation, and argues that BNYCP is entitled, at most, to $2.5 million for these items.</w:t>
      </w:r>
      <w:r>
        <w:rPr>
          <w:rStyle w:val="FootnoteCharacters"/>
          <w:rStyle w:val="FootnoteReference"/>
        </w:rPr>
        <w:footnoteReference w:id="11"/>
      </w:r>
      <w:r>
        <w:rPr/>
        <w:t xml:space="preserve">  We understand from our conversations with counsel for BNYCP and Mark Irwin that BNYCP actually spent this amount and that its expenditures are well-documented.   </w:t>
      </w:r>
    </w:p>
    <w:p>
      <w:pPr>
        <w:pStyle w:val="Heading2"/>
        <w:widowControl/>
        <w:jc w:val="both"/>
        <w:rPr/>
      </w:pPr>
      <w:r>
        <w:rPr/>
        <w:t>7.</w:t>
        <w:tab/>
      </w:r>
      <w:r>
        <w:rPr>
          <w:i/>
          <w:iCs w:val="false"/>
        </w:rPr>
        <w:t>Additional HRSG Claims</w:t>
      </w:r>
    </w:p>
    <w:p>
      <w:pPr>
        <w:pStyle w:val="BodyTextFirstIndent"/>
        <w:widowControl/>
        <w:jc w:val="both"/>
        <w:rPr/>
      </w:pPr>
      <w:r>
        <w:rPr/>
        <w:t>As an apparent attempt to circumvent the Contract’s limitation of damages provisions, BNYCP’s Complaint states five claims concerning the leaky HRSG tubes: breach of warranty, breach of contract, professional negligence, gross negligence, and a claim for a money judgment against Parsons on its guaranty.  BNYCP’s claimed HRSG damages total $32.8 million.</w:t>
      </w:r>
    </w:p>
    <w:p>
      <w:pPr>
        <w:pStyle w:val="BodyTextFirstIndent"/>
        <w:widowControl/>
        <w:jc w:val="both"/>
        <w:rPr/>
      </w:pPr>
      <w:r>
        <w:rPr/>
        <w:t>Although BNYCP’s lawyers tell us these claims are not quantified at this time, we assume that these claims can reasonably be valued in the neighborhood of $11 million, which Enron’s consultant estimated to be the cost to remedy the problem.</w:t>
      </w:r>
      <w:r>
        <w:rPr>
          <w:rStyle w:val="FootnoteCharacters"/>
          <w:rStyle w:val="FootnoteReference"/>
        </w:rPr>
        <w:footnoteReference w:id="12"/>
      </w:r>
    </w:p>
    <w:p>
      <w:pPr>
        <w:pStyle w:val="Heading2"/>
        <w:widowControl/>
        <w:jc w:val="both"/>
        <w:rPr/>
      </w:pPr>
      <w:r>
        <w:rPr/>
        <w:t>8.</w:t>
        <w:tab/>
      </w:r>
      <w:r>
        <w:rPr>
          <w:i/>
          <w:iCs w:val="false"/>
        </w:rPr>
        <w:t>Punitive Damages</w:t>
      </w:r>
    </w:p>
    <w:p>
      <w:pPr>
        <w:pStyle w:val="BodyTextFirstIndent"/>
        <w:widowControl/>
        <w:jc w:val="both"/>
        <w:rPr/>
      </w:pPr>
      <w:r>
        <w:rPr/>
        <w:t xml:space="preserve">BNYCP’s Complaint seeks punitive damages in an unspecified amount in connection with the leaking HRSG tubes.  Except for the naked allegations that the leaks were caused by “defects in the design, workmanship, quality controls and materials” and that they “resulted from the gross negligence of PMNC and Parsons Main,” there is no indication of outrageous or shocking conduct by either defendant to justify the imposition of punitive damages. </w:t>
      </w:r>
    </w:p>
    <w:p>
      <w:pPr>
        <w:pStyle w:val="Heading1"/>
        <w:widowControl/>
        <w:jc w:val="both"/>
        <w:rPr/>
      </w:pPr>
      <w:r>
        <w:rPr/>
        <w:t>B.</w:t>
        <w:tab/>
      </w:r>
      <w:r>
        <w:rPr>
          <w:u w:val="single"/>
        </w:rPr>
        <w:t>PMNC’s Claims</w:t>
      </w:r>
    </w:p>
    <w:p>
      <w:pPr>
        <w:pStyle w:val="BodyTextFirstIndent"/>
        <w:widowControl/>
        <w:jc w:val="both"/>
        <w:rPr/>
      </w:pPr>
      <w:r>
        <w:rPr/>
        <w:t>First and foremost, PMNC seeks to recover the $47.6 million, which remains due and unpaid under the Contract (the “Contract Balance”).</w:t>
      </w:r>
      <w:r>
        <w:rPr>
          <w:rStyle w:val="FootnoteCharacters"/>
          <w:rStyle w:val="FootnoteReference"/>
        </w:rPr>
        <w:footnoteReference w:id="13"/>
      </w:r>
      <w:r>
        <w:rPr/>
        <w:t xml:space="preserve">  This amount includes BNYCP’s $43 million offset amount, a $2 million performance bonus that PMNC claims it earned, and approximately $2 million in sales taxes PMNC allegedly paid without reimbursement as required under the Contract.</w:t>
      </w:r>
      <w:r>
        <w:rPr>
          <w:rStyle w:val="FootnoteCharacters"/>
          <w:rStyle w:val="FootnoteReference"/>
        </w:rPr>
        <w:footnoteReference w:id="14"/>
      </w:r>
      <w:r>
        <w:rPr/>
        <w:t xml:space="preserve">  </w:t>
      </w:r>
    </w:p>
    <w:p>
      <w:pPr>
        <w:pStyle w:val="BodyTextFirstIndent"/>
        <w:widowControl/>
        <w:jc w:val="both"/>
        <w:rPr/>
      </w:pPr>
      <w:r>
        <w:rPr/>
        <w:t xml:space="preserve">Additionally, PMNC claims $90 million in damages beyond the amount allegedly remaining unpaid under the Contract.  To support its entitlement to an additional $90 million,  PMNC advances two theories of recovery.  First, PMNC claims that, because of delays and changes, it contributed far more value to the facility than the Contract amount and seeks recovery based on the theory of </w:t>
      </w:r>
      <w:r>
        <w:rPr>
          <w:i/>
          <w:iCs/>
        </w:rPr>
        <w:t>quantum meruit</w:t>
      </w:r>
      <w:r>
        <w:rPr/>
        <w:t xml:space="preserve"> or quasi-contract.  If and to the extent PMNC is barred from pursuing its </w:t>
      </w:r>
      <w:r>
        <w:rPr>
          <w:i/>
          <w:iCs/>
        </w:rPr>
        <w:t>quantum meruit</w:t>
      </w:r>
      <w:r>
        <w:rPr/>
        <w:t xml:space="preserve"> claim, it alleges that BNYCP waived contract provisions requiring written notice of claims, including claims for cost overruns, within specified time limits.  </w:t>
      </w:r>
    </w:p>
    <w:p>
      <w:pPr>
        <w:pStyle w:val="BodyTextFirstIndent"/>
        <w:widowControl/>
        <w:jc w:val="both"/>
        <w:rPr/>
      </w:pPr>
      <w:r>
        <w:rPr/>
        <w:t>Second, PMNC claims that BNYCP’s allegedly injurious actions – particularly delays – constituted a breach of the Contract, which caused PMNC to incur costs far beyond that contemplated by the Contract.  In broad terms, PMNC claims that BNYCP breached the Contract by: (1) accelerating, delaying, impeding and interfering with PMNC’s performance; (2) failing to perform BNYCP’s obligations; (3) ordering changes but failing to execute change orders or pay for the extra work; (4) improperly recapturing payments; (5) refusing to grant extensions of time to PMNC to perform tasks; (6) improperly assessing liquidated damages and backcharges; (7) improperly drawing down the letter of credit funds; and (8) wrongfully terminating the Contract.</w:t>
      </w:r>
      <w:r>
        <w:rPr>
          <w:rStyle w:val="FootnoteCharacters"/>
          <w:rStyle w:val="FootnoteReference"/>
        </w:rPr>
        <w:footnoteReference w:id="15"/>
      </w:r>
      <w:r>
        <w:rPr/>
        <w:t xml:space="preserve">  </w:t>
      </w:r>
    </w:p>
    <w:p>
      <w:pPr>
        <w:pStyle w:val="BodyTextFirstIndent"/>
        <w:widowControl/>
        <w:jc w:val="both"/>
        <w:rPr/>
      </w:pPr>
      <w:r>
        <w:rPr/>
        <w:t>Both BNYCP and PMNC claim entitlement to attorneys’ fees under the Contract and pre-judgment interest, if they are the prevailing party in the litigation.</w:t>
      </w:r>
    </w:p>
    <w:p>
      <w:pPr>
        <w:pStyle w:val="BodyTextFirstIndent"/>
        <w:widowControl/>
        <w:ind w:hanging="0" w:end="0"/>
        <w:jc w:val="both"/>
        <w:rPr>
          <w:b/>
          <w:bCs/>
        </w:rPr>
      </w:pPr>
      <w:r>
        <w:rPr>
          <w:b/>
          <w:bCs/>
        </w:rPr>
        <w:t>IV.</w:t>
        <w:tab/>
        <w:t>CURRENT STATUS OF THE LITIGATION</w:t>
      </w:r>
    </w:p>
    <w:p>
      <w:pPr>
        <w:pStyle w:val="BodyTextFirstIndent"/>
        <w:widowControl/>
        <w:jc w:val="both"/>
        <w:rPr/>
      </w:pPr>
      <w:r>
        <w:rPr/>
        <w:t xml:space="preserve">As mentioned, despite the time that it has been pending, the Litigation is still at an early stage.  Much of the record developed in this case consists of pleadings and supporting documents addressing BNYCP’s Motion for Partial Summary Judgment, which apparently was an attempt to undercut PMNC’s ability to establish its claim for damages by removing from the case consideration of the key events on which PMNC bases its claim.  BNYCP also moved to dismiss a variety of PMNC’s claims and defenses, most notably: (1) the </w:t>
      </w:r>
      <w:r>
        <w:rPr>
          <w:i/>
          <w:iCs/>
        </w:rPr>
        <w:t xml:space="preserve">quantum meruit </w:t>
      </w:r>
      <w:r>
        <w:rPr/>
        <w:t xml:space="preserve">claim, and (2) the claim that BNYCP had waived the requirement that PMNC provide written notice of claims for damages and/or extensions of time.    </w:t>
      </w:r>
    </w:p>
    <w:p>
      <w:pPr>
        <w:pStyle w:val="BodyTextFirstIndent"/>
        <w:widowControl/>
        <w:jc w:val="both"/>
        <w:rPr/>
      </w:pPr>
      <w:r>
        <w:rPr/>
        <w:t xml:space="preserve">BNYCP’s motion for summary judgment was denied in its entirety by the trial court.  However, the appellate court reversed the trial court’s decision on </w:t>
      </w:r>
      <w:r>
        <w:rPr>
          <w:i/>
          <w:iCs/>
        </w:rPr>
        <w:t>quantum meruit</w:t>
      </w:r>
      <w:r>
        <w:rPr/>
        <w:t>, holding that PMNC was limited to damages claims based on the Contract.  The appellate court agreed with the trial court that there were factual issues concerning whether BNYCP waived the provisions of the Contract requiring written notice of claims.  This means that the trial court will almost certainly revisit this issue.</w:t>
      </w:r>
    </w:p>
    <w:p>
      <w:pPr>
        <w:pStyle w:val="BodyTextFirstIndent"/>
        <w:widowControl/>
        <w:jc w:val="both"/>
        <w:rPr/>
      </w:pPr>
      <w:r>
        <w:rPr/>
        <w:t>Discovery was initially delayed by the round of motions described above.  The parties are currently conducting intensive fact discovery and developing their expert witness testimony. Document discovery began in earnest in the spring and early summer of 2000, and roughly three million documents have been exchanged.  Each party has identified approximately 20-30 individual party and non-party witnesses who will have to be deposed.  Eight lengthy depositions have already taken place, all of which remain open to further examination.  Attached as Exhibit B is a list of the witnesses BNYCP’s counsel indicated they would be relying upon at trial.</w:t>
      </w:r>
    </w:p>
    <w:p>
      <w:pPr>
        <w:pStyle w:val="Heading"/>
        <w:widowControl/>
        <w:jc w:val="both"/>
        <w:rPr>
          <w:b/>
          <w:bCs w:val="false"/>
          <w:u w:val="none"/>
        </w:rPr>
      </w:pPr>
      <w:r>
        <w:rPr>
          <w:b/>
          <w:bCs w:val="false"/>
          <w:u w:val="none"/>
        </w:rPr>
        <w:t>V.</w:t>
        <w:tab/>
        <w:t>CURRENT STATUS OF MEDIATION AND SETTLEMENT DISCUSSIONS</w:t>
      </w:r>
    </w:p>
    <w:p>
      <w:pPr>
        <w:pStyle w:val="BodyTextFirstIndent"/>
        <w:widowControl/>
        <w:jc w:val="both"/>
        <w:rPr/>
      </w:pPr>
      <w:r>
        <w:rPr/>
        <w:t>Enron was previously informed that mediation efforts undertaken in connection with the California litigation broke down with the parties $20 million apart: BNYCP offering to settle for $50 million and PMNC insisting on $70 million.  Current counsel deny knowledge of any such figures, and believe that the previous mediation, conducted by predecessor counsel, ended when PMNC, after signaling a move to $100 million as a settlement position, returned to $120 million.  BNYCP gave an indication it would pay $20 million, so the initial mediation terminated with the parties roughly $100 million apart, according to Friedman Wang.  Friedman Wang believes the initial mediation was “not a good process” and that the failure of these negotiations set a bad precedent for further discussions.</w:t>
      </w:r>
    </w:p>
    <w:p>
      <w:pPr>
        <w:pStyle w:val="BodyTextFirstIndent"/>
        <w:widowControl/>
        <w:jc w:val="both"/>
        <w:rPr/>
      </w:pPr>
      <w:r>
        <w:rPr/>
        <w:t>We are unaware of any pending settlement negotiations.  It is our understanding that, at one point, Edison Mission approached Parsons about settlement, and Parsons suggested that BNYCP pay the $43 million which remains unpaid under the Contract and then discuss settlement of the various other claims.  Friedman Wang believes that some of the difficulties in establishing a meaningful settlement dialogue stem from finger pointing and differences of opinion among the Defendants.</w:t>
      </w:r>
    </w:p>
    <w:p>
      <w:pPr>
        <w:pStyle w:val="BodyTextFirstIndent"/>
        <w:widowControl/>
        <w:jc w:val="both"/>
        <w:rPr/>
      </w:pPr>
      <w:r>
        <w:rPr/>
        <w:t>The judge is in the process of referring the case to mediation before a pair of mediators:  a retired judge and a lawyer expert in construction litigation.  With this format, it may be possible that some issues can be separately resolved through the mediation process, such as by mini-trials.  The parties are developing a protocol for the manner in which the mediation will proceed.  Friedman Wang have told us that they want to use the process as a means of forcing PMNC to identify the basis for its enormous damages claims, which have, thus far, not been clarified with any degree of specificity.  Friedman Wang also voices concern that these discussions not deteriorate the way the first set did.</w:t>
      </w:r>
    </w:p>
    <w:p>
      <w:pPr>
        <w:pStyle w:val="BodyTextFirstIndent"/>
        <w:widowControl/>
        <w:jc w:val="both"/>
        <w:rPr/>
      </w:pPr>
      <w:r>
        <w:rPr/>
        <w:t>With some hesitation, Peter Wang of Friedman Wang, expressed the view that it is “possible that PMNC would accept something in the range of the offsets” of $43 million to settle the case.  We have been informed that, at present, BNYCP is disinclined to settle at this level.</w:t>
      </w:r>
    </w:p>
    <w:p>
      <w:pPr>
        <w:pStyle w:val="Heading"/>
        <w:widowControl/>
        <w:jc w:val="both"/>
        <w:rPr>
          <w:b/>
          <w:bCs w:val="false"/>
          <w:u w:val="none"/>
        </w:rPr>
      </w:pPr>
      <w:r>
        <w:rPr>
          <w:b/>
          <w:bCs w:val="false"/>
          <w:u w:val="none"/>
        </w:rPr>
        <w:t>VI.</w:t>
        <w:tab/>
        <w:t>RISK ASSESSMENT</w:t>
      </w:r>
    </w:p>
    <w:p>
      <w:pPr>
        <w:pStyle w:val="Heading1"/>
        <w:widowControl/>
        <w:jc w:val="both"/>
        <w:rPr/>
      </w:pPr>
      <w:r>
        <w:rPr/>
        <w:t>A.</w:t>
        <w:tab/>
      </w:r>
      <w:r>
        <w:rPr>
          <w:u w:val="single"/>
        </w:rPr>
        <w:t xml:space="preserve">PMNC’s </w:t>
      </w:r>
      <w:r>
        <w:rPr>
          <w:i/>
          <w:iCs/>
          <w:u w:val="single"/>
        </w:rPr>
        <w:t>Quantum Meruit</w:t>
      </w:r>
      <w:r>
        <w:rPr>
          <w:u w:val="single"/>
        </w:rPr>
        <w:t xml:space="preserve"> Claim to Damages Beyond Contract Limits</w:t>
      </w:r>
    </w:p>
    <w:p>
      <w:pPr>
        <w:pStyle w:val="BodyTextFirstIndent"/>
        <w:widowControl/>
        <w:jc w:val="both"/>
        <w:rPr/>
      </w:pPr>
      <w:r>
        <w:rPr/>
        <w:t xml:space="preserve">We have previously provided you with the July 2, 2001 memorandum from Chris Cobb  discussing the likelihood that the New York Court of Appeals would accept a petition by PMNC for further appellate review of its </w:t>
      </w:r>
      <w:r>
        <w:rPr>
          <w:i/>
          <w:iCs/>
        </w:rPr>
        <w:t>quantum meruit</w:t>
      </w:r>
      <w:r>
        <w:rPr/>
        <w:t xml:space="preserve"> claim and, if it did, the probability of reversal.  In that memorandum, a copy of which is attached for your convenience (Exhibit C), we concluded that it is extremely unlikely that the state’s highest court would take the case and reverse the Appellate Division as to that issue.  The decision—that recovery is limited to contract damages where a valid written contract covering the dispute at issue has not been rescinded or otherwise revoked by the party claiming </w:t>
      </w:r>
      <w:r>
        <w:rPr>
          <w:i/>
          <w:iCs/>
        </w:rPr>
        <w:t xml:space="preserve">quantum meruit </w:t>
      </w:r>
      <w:r>
        <w:rPr/>
        <w:t xml:space="preserve">damages—is squarely within the mainstream of New York jurisprudence and appears well supported by the facts of this case.  This remains our opinion relating to further appeal of the </w:t>
      </w:r>
      <w:r>
        <w:rPr>
          <w:i/>
          <w:iCs/>
        </w:rPr>
        <w:t>quantum meruit</w:t>
      </w:r>
      <w:r>
        <w:rPr/>
        <w:t xml:space="preserve"> claim.</w:t>
      </w:r>
    </w:p>
    <w:p>
      <w:pPr>
        <w:pStyle w:val="Heading1"/>
        <w:widowControl/>
        <w:jc w:val="both"/>
        <w:rPr/>
      </w:pPr>
      <w:r>
        <w:rPr/>
        <w:t>B.</w:t>
        <w:tab/>
      </w:r>
      <w:r>
        <w:rPr>
          <w:u w:val="single"/>
        </w:rPr>
        <w:t>PMNC’s Other Claims for Damages Beyond the Contract Balance</w:t>
      </w:r>
    </w:p>
    <w:p>
      <w:pPr>
        <w:pStyle w:val="BodyTextFirstIndent"/>
        <w:widowControl/>
        <w:jc w:val="both"/>
        <w:rPr/>
      </w:pPr>
      <w:r>
        <w:rPr/>
        <w:t>To recover damages beyond the unpaid balance allegedly due pursuant to the terms of the Contract, PMNC will likely need to establish three points: (1) the Contact’s notice requirements do not bar PMNC from raising its claims; (2) BNYCP is actually liable for causing injuries which PMNC alleges; and (3) PMNC’s alleged injuries can be measured in damages of an ascertainable amount.  These issues are discussed below.</w:t>
      </w:r>
    </w:p>
    <w:p>
      <w:pPr>
        <w:pStyle w:val="Heading2"/>
        <w:widowControl/>
        <w:jc w:val="both"/>
        <w:rPr/>
      </w:pPr>
      <w:r>
        <w:rPr/>
        <w:t>1.</w:t>
        <w:tab/>
      </w:r>
      <w:r>
        <w:rPr>
          <w:i/>
          <w:iCs w:val="false"/>
        </w:rPr>
        <w:t>BNYCP’s Alleged Waiver of Notice Provisions</w:t>
      </w:r>
    </w:p>
    <w:p>
      <w:pPr>
        <w:pStyle w:val="BodyTextFirstIndent"/>
        <w:widowControl/>
        <w:jc w:val="both"/>
        <w:rPr/>
      </w:pPr>
      <w:r>
        <w:rPr/>
        <w:t>As an initial matter, PMNC must establish that it either complied with the Contract’s provisions requiring notice of claims or that BNYCP waived, or is estopped from enforcing, these provisions.  To prevent this argument from succeeding, BNYCP primarily relies on section 11 of the Contract, which expressly provides that failure to give proper notice of “a claim for an adjustment of the Fixed Price or a date requiring a Change Order, or a claim for additional compensation or damages of any kind, whether as a result of a Change Order or otherwise,” results in PMNC’s forfeiture of the claim.  BNYCP also relies on section 43, which provides that “No alleged waiver of any provision of or rights under this Turnkey Agreement shall be effective unless made in writing and signed by the waiving party.”</w:t>
      </w:r>
    </w:p>
    <w:p>
      <w:pPr>
        <w:pStyle w:val="BodyTextFirstIndent"/>
        <w:widowControl/>
        <w:jc w:val="both"/>
        <w:rPr/>
      </w:pPr>
      <w:r>
        <w:rPr/>
        <w:t>Thus, if the court strictly construes the Contract’s notice and “no-waiver” provisions, PMNC is not likely to recover damages beyond the Contract limits because PMNC apparently failed to give proper notice with respect to most of its claims.  Nevertheless, based on the documents we have reviewed, it appears that PMNC has a strong – and likely a winning – argument that, through the course of dealing between the parties, BNYCP implicitly waived the notice requirements with regard to at least some of the claims.</w:t>
      </w:r>
    </w:p>
    <w:p>
      <w:pPr>
        <w:pStyle w:val="BodyTextFirstIndent"/>
        <w:widowControl/>
        <w:jc w:val="both"/>
        <w:rPr/>
      </w:pPr>
      <w:r>
        <w:rPr/>
        <w:t>Support for this position is found in PMNC’s brief to the Appellate Division, wherein it cited numerous cases from New York and other jurisdictions supporting the argument that contract provisions requiring a writing, such as a written change order or a notice, can be waived by the parties to a contract.  PMNC alleges that such conduct is present here because:</w:t>
      </w:r>
    </w:p>
    <w:p>
      <w:pPr>
        <w:pStyle w:val="BulletIndent"/>
        <w:rPr/>
      </w:pPr>
      <w:r>
        <w:rPr>
          <w:rFonts w:cs="WP TypographicSymbols" w:ascii="WP TypographicSymbols" w:hAnsi="WP TypographicSymbols"/>
        </w:rPr>
        <w:tab/>
        <w:t>!</w:t>
      </w:r>
      <w:r>
        <w:rPr/>
        <w:tab/>
        <w:t>an on-site supervisor, who had knowledge of the extra work or delays, was present at the construction site on behalf of the owner and failed to demand adherence with notice provision prior to commencement of extra work,</w:t>
      </w:r>
    </w:p>
    <w:p>
      <w:pPr>
        <w:pStyle w:val="BulletIndent"/>
        <w:rPr/>
      </w:pPr>
      <w:r>
        <w:rPr>
          <w:rFonts w:cs="WP TypographicSymbols" w:ascii="WP TypographicSymbols" w:hAnsi="WP TypographicSymbols"/>
        </w:rPr>
        <w:tab/>
        <w:t>!</w:t>
      </w:r>
      <w:r>
        <w:rPr/>
        <w:tab/>
        <w:t>the owner insisted that the contractor make changes or perform extra work notwithstanding the fact that such would result in construction delay or additional costs,</w:t>
      </w:r>
    </w:p>
    <w:p>
      <w:pPr>
        <w:pStyle w:val="BulletIndent"/>
        <w:rPr/>
      </w:pPr>
      <w:r>
        <w:rPr>
          <w:rFonts w:cs="WP TypographicSymbols" w:ascii="WP TypographicSymbols" w:hAnsi="WP TypographicSymbols"/>
        </w:rPr>
        <w:tab/>
        <w:t>!</w:t>
      </w:r>
      <w:r>
        <w:rPr/>
        <w:tab/>
        <w:t>the owner orally directed the contractor to perform extra work and promised to pay for extra costs in order that the construction could proceed expeditiously,</w:t>
      </w:r>
    </w:p>
    <w:p>
      <w:pPr>
        <w:pStyle w:val="BulletIndent"/>
        <w:rPr/>
      </w:pPr>
      <w:r>
        <w:rPr>
          <w:rFonts w:cs="WP TypographicSymbols" w:ascii="WP TypographicSymbols" w:hAnsi="WP TypographicSymbols"/>
        </w:rPr>
        <w:tab/>
        <w:t>!</w:t>
      </w:r>
      <w:r>
        <w:rPr/>
        <w:tab/>
        <w:t>the parties followed a practice of not complying with the notice provisions when extra work was performed, thus establishing a course of conduct that superseded the contractual notice requirements,</w:t>
      </w:r>
    </w:p>
    <w:p>
      <w:pPr>
        <w:pStyle w:val="BulletIndent"/>
        <w:rPr/>
      </w:pPr>
      <w:r>
        <w:rPr>
          <w:rFonts w:cs="WP TypographicSymbols" w:ascii="WP TypographicSymbols" w:hAnsi="WP TypographicSymbols"/>
        </w:rPr>
        <w:tab/>
        <w:t>!</w:t>
      </w:r>
      <w:r>
        <w:rPr/>
        <w:tab/>
        <w:t>notwithstanding the lack of formal notice, the reasons for the delays and extra work were evident, [and]</w:t>
      </w:r>
    </w:p>
    <w:p>
      <w:pPr>
        <w:pStyle w:val="BulletIndent"/>
        <w:rPr/>
      </w:pPr>
      <w:r>
        <w:rPr>
          <w:rFonts w:cs="WP TypographicSymbols" w:ascii="WP TypographicSymbols" w:hAnsi="WP TypographicSymbols"/>
        </w:rPr>
        <w:tab/>
        <w:t>!</w:t>
      </w:r>
      <w:r>
        <w:rPr/>
        <w:tab/>
        <w:t>the owner caused the delays or extra work because, for instance, the owner provided inadequate plans, blueprints, work materials essential to construction, information, made changes after work had commenced, altered construction plans or failed to provide necessary information or documents.</w:t>
      </w:r>
      <w:r>
        <w:rPr>
          <w:rStyle w:val="FootnoteCharacters"/>
          <w:rStyle w:val="FootnoteReference"/>
        </w:rPr>
        <w:footnoteReference w:id="16"/>
      </w:r>
    </w:p>
    <w:p>
      <w:pPr>
        <w:pStyle w:val="BodyTextFirstIndent"/>
        <w:widowControl/>
        <w:jc w:val="both"/>
        <w:rPr/>
      </w:pPr>
      <w:r>
        <w:rPr/>
        <w:t>PMNC further asserts that the Facility was on a very fast track and, therefore, it was understood that there could be oral changes without written notice or documentation:</w:t>
      </w:r>
    </w:p>
    <w:p>
      <w:pPr>
        <w:pStyle w:val="BlockText"/>
        <w:widowControl/>
        <w:rPr/>
      </w:pPr>
      <w:r>
        <w:rPr/>
        <w:t>BNYCP frequently directed PMNC to perform extra work for which no change order had been approved, with the understanding that PMNC eventually would be compensated for that work.  For instance, when PMNC was directed to change the route of a steam line leading out of the Project and confronted BNYCP because no change order had been approved, BNYCP told PMNC not to worry about the change order and to continue with the work.</w:t>
      </w:r>
      <w:r>
        <w:rPr>
          <w:rStyle w:val="FootnoteCharacters"/>
          <w:rStyle w:val="FootnoteReference"/>
        </w:rPr>
        <w:footnoteReference w:id="17"/>
      </w:r>
      <w:r>
        <w:rPr/>
        <w:t xml:space="preserve">  Similarly, when PMNC informed BNYCP, by letter, that timing prevented it from submitting a change order for extra work relating to the remote terminal units required for transmission of power to Con Ed, and that it would submit a change order after the work was completed, BNYCP acceded and responded that it “appreciates the efforts and help of PMNC regarding the interfaces with Con Edison . . . .”</w:t>
      </w:r>
      <w:r>
        <w:rPr>
          <w:rStyle w:val="FootnoteCharacters"/>
          <w:rStyle w:val="FootnoteReference"/>
        </w:rPr>
        <w:footnoteReference w:id="18"/>
      </w:r>
    </w:p>
    <w:p>
      <w:pPr>
        <w:pStyle w:val="BodyTextFirstIndent"/>
        <w:widowControl/>
        <w:jc w:val="both"/>
        <w:rPr/>
      </w:pPr>
      <w:r>
        <w:rPr/>
        <w:t>PMNC also submitted affidavits to the court in support of its position that BNYCP waived written notice of claims.  In particular, James M. McCrank, Project Manager for the Parsons Power Group, presented evidence to support a claim that the facility was constructed in a fluid environment in which numerous changes were requested and performed without documentation.  McCrank appears to be a forceful witness, and his affidavit was undoubtedly instrumental in convincing the trial court and the Appellate Division to allow PMNC to proceed with their theory that BNYCP waived the requirements of written notice and documentation of changes.</w:t>
      </w:r>
    </w:p>
    <w:p>
      <w:pPr>
        <w:pStyle w:val="Heading2"/>
        <w:widowControl/>
        <w:jc w:val="both"/>
        <w:rPr/>
      </w:pPr>
      <w:r>
        <w:rPr/>
        <w:t>2.</w:t>
        <w:tab/>
      </w:r>
      <w:r>
        <w:rPr>
          <w:i/>
          <w:iCs w:val="false"/>
        </w:rPr>
        <w:t>PMNC’s Ability to Prove that its Damages are Attributable to BNYCP</w:t>
      </w:r>
    </w:p>
    <w:p>
      <w:pPr>
        <w:pStyle w:val="BodyTextFirstIndent"/>
        <w:widowControl/>
        <w:jc w:val="both"/>
        <w:rPr/>
      </w:pPr>
      <w:r>
        <w:rPr/>
        <w:t>The second point which PMNC must establish to recover damages beyond the Contract Balance is that its damages are the result of a specific act or omission of BNYCP that was not permitted under the Contract (</w:t>
      </w:r>
      <w:r>
        <w:rPr>
          <w:i/>
          <w:iCs/>
        </w:rPr>
        <w:t>e.g.</w:t>
      </w:r>
      <w:r>
        <w:rPr/>
        <w:t xml:space="preserve">, unreasonable delay or wrongful refusal to grant an extension of time).  Given that PMNC does not have a viable claim for recovery in </w:t>
      </w:r>
      <w:r>
        <w:rPr>
          <w:i/>
          <w:iCs/>
        </w:rPr>
        <w:t>quantum meruit</w:t>
      </w:r>
      <w:r>
        <w:rPr/>
        <w:t xml:space="preserve">, whether PMNC can recover these damages likely turns on PMNC’s ability to produce evidence tying particular additional PMNC expenses to specific BNYCP delays or to oral directives to complete additional work.  </w:t>
      </w:r>
    </w:p>
    <w:p>
      <w:pPr>
        <w:pStyle w:val="BodyTextFirstIndent"/>
        <w:widowControl/>
        <w:jc w:val="both"/>
        <w:rPr/>
      </w:pPr>
      <w:r>
        <w:rPr/>
        <w:t>Based on the information currently available to us, the substance of PMNC’s claim for damages appears to be based almost entirely on the events described in its January 29, 1997, “Request for Extension of Time and Claim for Damages” (“1997 Claim”).</w:t>
      </w:r>
      <w:r>
        <w:rPr>
          <w:rStyle w:val="FootnoteCharacters"/>
          <w:rStyle w:val="FootnoteReference"/>
        </w:rPr>
        <w:footnoteReference w:id="19"/>
      </w:r>
      <w:r>
        <w:rPr/>
        <w:t xml:space="preserve">  The 1997 Claim is a 200-page document which is apparently PMNC’s attempt to provide a specific factual basis for each and every event alleged to have unduly increased its costs or caused delay.  It is a compelling presentation that, in large part, has apparently not been refuted by BNYCP in either of the appellate records we have reviewed.  Although this may be due to the early stage of the Litigation and the fact that these events have not been the direct focus of the two appeals in this case, it will likely be very difficult for BNYCP to adduce the evidence necessary to refute all of the allegations of  increased costs and delay set forth in the 1997 Claim.  As a result, it appears that BNYCP will face some exposure to PMNC’s claim for damages beyond the unpaid Contract balance.  As noted, however, we are unable to quantify the amount of BNYCP’s likely exposure to these claims based on the information currently available to us. </w:t>
      </w:r>
    </w:p>
    <w:p>
      <w:pPr>
        <w:pStyle w:val="BodyText"/>
        <w:widowControl/>
        <w:ind w:hanging="0" w:end="0"/>
        <w:jc w:val="both"/>
        <w:rPr/>
      </w:pPr>
      <w:r>
        <w:rPr/>
        <w:tab/>
        <w:t>In the 1997 Claim, PMNC summarizes the events which caused it to incur delay as follows:</w:t>
      </w:r>
    </w:p>
    <w:p>
      <w:pPr>
        <w:pStyle w:val="BodyText"/>
        <w:widowControl/>
        <w:ind w:hanging="0" w:start="1440" w:end="1440"/>
        <w:jc w:val="both"/>
        <w:rPr/>
      </w:pPr>
      <w:r>
        <w:rPr/>
        <w:t>PMNC was delayed by Force Majeure delays and, more important (</w:t>
      </w:r>
      <w:r>
        <w:rPr>
          <w:i/>
          <w:iCs/>
        </w:rPr>
        <w:t>sic</w:t>
      </w:r>
      <w:r>
        <w:rPr/>
        <w:t xml:space="preserve">), the direct acts and omissions of BNYCP, including but not limited to its failure to provide free and clear Site access; interference in the means, method, and sequences of the work, as well as in the work itself; failure to provide permits and rights of way in a timely manner; failure to make decisions regarding the work in a timely manner; directed changes; and failure to coordinate the work with other entities as required by the Turnkey Agreement.  </w:t>
      </w:r>
    </w:p>
    <w:p>
      <w:pPr>
        <w:pStyle w:val="BodyText"/>
        <w:widowControl/>
        <w:ind w:hanging="0" w:end="0"/>
        <w:jc w:val="both"/>
        <w:rPr/>
      </w:pPr>
      <w:r>
        <w:rPr/>
        <w:tab/>
        <w:t>By way of example, some of the events PMNC claims to have caused delay and increased costs are as follows:</w:t>
      </w:r>
    </w:p>
    <w:p>
      <w:pPr>
        <w:pStyle w:val="BodyText"/>
        <w:widowControl/>
        <w:jc w:val="both"/>
        <w:rPr/>
      </w:pPr>
      <w:r>
        <w:rPr/>
        <w:t>(i)</w:t>
        <w:tab/>
        <w:t>Revocable Consent</w:t>
      </w:r>
    </w:p>
    <w:p>
      <w:pPr>
        <w:pStyle w:val="BodyTextFirstIndent"/>
        <w:widowControl/>
        <w:jc w:val="both"/>
        <w:rPr/>
      </w:pPr>
      <w:r>
        <w:rPr/>
        <w:t>In order to install certain transmission lines underneath New York City streets, a Revocable Consent permit was required from the New York City Department of Transportation.  The Contract requires BNYCP to procure the Revocable Consent permit and contains a general provision requiring PMNC to “Support [BNYCP’s] permitting and licensing activities.”  PMNC claims that BNYCP’s unreasonable delay in obtaining the permit caused PMNC to incur substantial inefficiency and acceleration costs and resulted in a delay of the November 30, 1995, Capacity Performance Test.  BNYCP alleges that PMNC bears responsibility for the delay because it did not provide the supporting documents necessary for BNYCP to obtain the permit.</w:t>
      </w:r>
    </w:p>
    <w:p>
      <w:pPr>
        <w:pStyle w:val="BodyText"/>
        <w:widowControl/>
        <w:jc w:val="both"/>
        <w:rPr/>
      </w:pPr>
      <w:r>
        <w:rPr/>
        <w:t>(ii)</w:t>
        <w:tab/>
        <w:t>Options under the Contact</w:t>
      </w:r>
    </w:p>
    <w:p>
      <w:pPr>
        <w:pStyle w:val="BodyTextFirstIndent"/>
        <w:widowControl/>
        <w:jc w:val="both"/>
        <w:rPr/>
      </w:pPr>
      <w:r>
        <w:rPr/>
        <w:t>Exhibit L to the Contract contains five options addressing major components of the Facility, each of which provided specific deadlines upon which the options would expire.  PMNC alleges that, “although variations of Options 1, 2, 3 and 5 were eventually constructed by PMNC, [BNYCP] did not select these options prior to the stated deadline.”</w:t>
      </w:r>
      <w:r>
        <w:rPr>
          <w:rStyle w:val="FootnoteCharacters"/>
          <w:rStyle w:val="FootnoteReference"/>
        </w:rPr>
        <w:footnoteReference w:id="20"/>
      </w:r>
      <w:r>
        <w:rPr/>
        <w:t xml:space="preserve">  PMNC further alleges that BNYCP’s “indecision” with regard to these options affected numerous areas of PMNC’s work and caused PMNC to incur substantial costs.  BNYCP responds that it had valid business reasons for deciding not to exercise the options and that it “was not required to say that it would </w:t>
      </w:r>
      <w:r>
        <w:rPr>
          <w:u w:val="single"/>
        </w:rPr>
        <w:t>not</w:t>
      </w:r>
      <w:r>
        <w:rPr/>
        <w:t xml:space="preserve"> exercise its option by any specific date.”</w:t>
      </w:r>
      <w:r>
        <w:rPr>
          <w:rStyle w:val="FootnoteCharacters"/>
          <w:rStyle w:val="FootnoteReference"/>
        </w:rPr>
        <w:footnoteReference w:id="21"/>
      </w:r>
    </w:p>
    <w:p>
      <w:pPr>
        <w:pStyle w:val="BodyText"/>
        <w:widowControl/>
        <w:jc w:val="both"/>
        <w:rPr/>
      </w:pPr>
      <w:r>
        <w:rPr/>
        <w:t>(iii)</w:t>
        <w:tab/>
        <w:t>BNYCP’s Failure to Construct Certain Items</w:t>
      </w:r>
    </w:p>
    <w:p>
      <w:pPr>
        <w:pStyle w:val="BodyTextFirstIndent"/>
        <w:widowControl/>
        <w:jc w:val="both"/>
        <w:rPr/>
      </w:pPr>
      <w:r>
        <w:rPr/>
        <w:t xml:space="preserve">The Contract called for BNYCP to build a tunnel extension and construct a steam line, both of which were items that would better enable PMNC to test and complete the Facility.  PMNC alleges that BNYCP’s several month delay in constructing these items hindered PMNC’s ability to perform certain tests and caused delay and increased costs.  BNYCP counters that the Contract expressly provided that the tests could be conducted in the manner PMNC conducted them and, therefore, that PMNC’s claims of inconvenience and delay regarding this issue are groundless.   </w:t>
      </w:r>
    </w:p>
    <w:p>
      <w:pPr>
        <w:pStyle w:val="BodyText"/>
        <w:widowControl/>
        <w:jc w:val="both"/>
        <w:rPr/>
      </w:pPr>
      <w:r>
        <w:rPr/>
        <w:t>(iv)</w:t>
        <w:tab/>
        <w:t>Force Majeure Events</w:t>
      </w:r>
    </w:p>
    <w:p>
      <w:pPr>
        <w:pStyle w:val="BodyTextFirstIndent"/>
        <w:widowControl/>
        <w:jc w:val="both"/>
        <w:rPr/>
      </w:pPr>
      <w:r>
        <w:rPr/>
        <w:t>Section 15.1 of the Contract provides that:</w:t>
      </w:r>
    </w:p>
    <w:p>
      <w:pPr>
        <w:pStyle w:val="BlockText"/>
        <w:widowControl/>
        <w:rPr/>
      </w:pPr>
      <w:r>
        <w:rPr/>
        <w:t>An extension of time for completion of Work shall be granted to Contractor in the event the performance of the work is actually and necessarily delayed by an event of Force Majeure and in such event the extension of time shall be limited to that portion of the Work affected by the Force Majeure event.  An extension of time shall be Contractor’s exclusive remedy for a Force Majeure event.</w:t>
      </w:r>
    </w:p>
    <w:p>
      <w:pPr>
        <w:pStyle w:val="BodyTextFirstIndent"/>
        <w:widowControl/>
        <w:jc w:val="both"/>
        <w:rPr/>
      </w:pPr>
      <w:r>
        <w:rPr/>
        <w:t>Over the course of the Contract, several Force Majeure events occurred, including two bomb threats, a local union strike, a six-alarm fire, and a severe winter storm.  As PMNC’s Assistant Construction Manager noted, although PMNC was entitled to an extension of time for these events, “BNYCP consistently refused to grant any extension of the contract time to PMNC.  As a result, PMNC was forced to accelerate its efforts, by working nights and weekends, by putting additional men on the job, and by generally going above and beyond what was called for in the Turnkey Agreement.”</w:t>
      </w:r>
      <w:r>
        <w:rPr>
          <w:rStyle w:val="FootnoteCharacters"/>
          <w:rStyle w:val="FootnoteReference"/>
        </w:rPr>
        <w:footnoteReference w:id="22"/>
      </w:r>
      <w:r>
        <w:rPr/>
        <w:t xml:space="preserve"> </w:t>
      </w:r>
    </w:p>
    <w:p>
      <w:pPr>
        <w:pStyle w:val="BodyTextFirstIndent"/>
        <w:widowControl/>
        <w:jc w:val="both"/>
        <w:rPr/>
      </w:pPr>
      <w:r>
        <w:rPr/>
        <w:t xml:space="preserve">Based on the documents in the appellate records, BNYCP’s general response to these claims has been to dismiss them on grounds of failure to give proper notice or to allege that PMNC failed to demonstrate that it could not have overcome the alleged delays with the exercise of reasonable diligence. </w:t>
      </w:r>
    </w:p>
    <w:p>
      <w:pPr>
        <w:pStyle w:val="BodyTextFirstIndent"/>
        <w:widowControl/>
        <w:jc w:val="both"/>
        <w:rPr/>
      </w:pPr>
      <w:r>
        <w:rPr/>
        <w:t>Although the aggregate delay caused by these Force Majeure events is likely to account for a minor portion of the overall delay and costs claimed by PMNC, these events are likely to be a significant component of PMNC’s attempt to demonstrate that BNYCP unreasonably refused to grant PMNC extensions of time.  As quoted above, the Contract provides that an extension of time is PMNC’s sole remedy for delay due to events of Force Majeure and, therefore, PMNC will probably not be able to recover increased costs due to the occurrence of a Force Majeure event itself.  However, if PMNC can establish that BNYCP unreasonably denied PMNC time extensions, PMNC apparently has a valid basis for claiming entitlement to acceleration and inefficiency costs due to BNYCP’s refusal.  Notably, if PMNC supplied a valid request for an extension of time due to an event of Force Majeure, the Contract provides that BNYCP “shall” (</w:t>
      </w:r>
      <w:r>
        <w:rPr>
          <w:i/>
          <w:iCs/>
        </w:rPr>
        <w:t>i.e.</w:t>
      </w:r>
      <w:r>
        <w:rPr/>
        <w:t xml:space="preserve">, is required to) grant PMNC the extension.  </w:t>
      </w:r>
    </w:p>
    <w:p>
      <w:pPr>
        <w:pStyle w:val="Heading2"/>
        <w:widowControl/>
        <w:jc w:val="both"/>
        <w:rPr>
          <w:u w:val="single"/>
        </w:rPr>
      </w:pPr>
      <w:r>
        <w:rPr/>
        <w:t>3.</w:t>
        <w:tab/>
      </w:r>
      <w:r>
        <w:rPr>
          <w:i/>
          <w:iCs w:val="false"/>
        </w:rPr>
        <w:t>PMNC’s Ability to Prove the Amount of its Damages</w:t>
      </w:r>
    </w:p>
    <w:p>
      <w:pPr>
        <w:pStyle w:val="BodyTextFirstIndent"/>
        <w:widowControl/>
        <w:jc w:val="both"/>
        <w:rPr/>
      </w:pPr>
      <w:r>
        <w:rPr/>
        <w:t xml:space="preserve">PMNC must also establish the specific amounts of the damages it alleges.  Counsel for BNYCP have stressed that this information has been lacking in the discovery they have seen to date, and specific amounts are not established in the appellate records.  Further, PMNC’s 1997 Claim does not attempt to assign dollar amounts to PMNC’s enumerated injuries or to specify how the aggregate cost of those injuries reaches the $90 million figure.  Rather, after summarizing PMNC’s claim for the unpaid Contract balance, the 1997 Claim lumps the remainder of its claim in an “Other Damages” category, which mirrors the allegations raised in PMNC’s Complaints.  Thus, unless PMNC can adduce evidence to overcome this apparent lack of specificity, it is not likely to recover the amount it claims for damages beyond the unpaid Contract balance.  </w:t>
      </w:r>
    </w:p>
    <w:p>
      <w:pPr>
        <w:pStyle w:val="BodyTextFirstIndent"/>
        <w:widowControl/>
        <w:jc w:val="both"/>
        <w:rPr/>
      </w:pPr>
      <w:r>
        <w:rPr/>
        <w:t xml:space="preserve">PMNC’s ability to recover on these allegations is substantially weakened by the fact that the changes, even if proven to have occurred in substantial part, do not account for PMNC’s approximately three-month delay in meeting the Capacity Performance, Turnover, and Final Acceptance deadlines in the Contract.  Rather, the damage claims on which PMNC is most likely to prevail appear to be relatively minor.  Perhaps more damaging to PMNC’s claims is that PMNC has provided little, if any, evidence as to its actual losses due to the discrete events of which it complains. </w:t>
      </w:r>
    </w:p>
    <w:p>
      <w:pPr>
        <w:pStyle w:val="BodyTextFirstIndent"/>
        <w:widowControl/>
        <w:jc w:val="both"/>
        <w:rPr/>
      </w:pPr>
      <w:r>
        <w:rPr/>
        <w:t>PMNC again relies on James McCrank, who testified that several plant systems required numerous design changes which disrupted orderly progress: water treatment, water supply, piping connections to Red Hook and Con Ed, and circulating water intake.</w:t>
      </w:r>
      <w:r>
        <w:rPr>
          <w:rStyle w:val="FootnoteCharacters"/>
          <w:rStyle w:val="FootnoteReference"/>
        </w:rPr>
        <w:footnoteReference w:id="23"/>
      </w:r>
      <w:r>
        <w:rPr/>
        <w:t xml:space="preserve">  McCrank also discussed numerous problems with establishing testing procedures for vendor-supplied equipment.</w:t>
      </w:r>
      <w:r>
        <w:rPr>
          <w:rStyle w:val="FootnoteCharacters"/>
          <w:rStyle w:val="FootnoteReference"/>
        </w:rPr>
        <w:footnoteReference w:id="24"/>
      </w:r>
      <w:r>
        <w:rPr/>
        <w:t xml:space="preserve">  While McCrank attaches some dollar amounts to particular changes that he claims were requested and not documented, most of his complaints relate not to claims outside Contract limits, but to late-requested change orders where BNYCP presumably credited the change order amount against an offset for Delay Liquidated Damages in reaching Turnover.  Furthermore, no PMNC witness, whose affidavit was submitted to the court, provides any detail to support the notion that any particular change that was done pursuant to oral direction and not documented caused specified price increases, although some price escalation would be expected to be associated with numerous changes.</w:t>
      </w:r>
    </w:p>
    <w:p>
      <w:pPr>
        <w:pStyle w:val="BodyTextFirstIndent"/>
        <w:widowControl/>
        <w:jc w:val="both"/>
        <w:rPr/>
      </w:pPr>
      <w:r>
        <w:rPr/>
        <w:t>None of this information, as stated by Friedman Wang in our meetings, establishes, as a factual matter, that actions by BNYCP either caused specific additional expense items or necessarily establishes that BNYCP waived the Contract requirements of a written change order or notice of claim.  The available evidence also fails to give any indication how PMNC could maintain claims for $90 million worth of such changes for a Facility with an initial contract price of $253 million.</w:t>
      </w:r>
    </w:p>
    <w:p>
      <w:pPr>
        <w:pStyle w:val="BodyTextFirstIndent"/>
        <w:widowControl/>
        <w:jc w:val="both"/>
        <w:rPr/>
      </w:pPr>
      <w:r>
        <w:rPr/>
        <w:t>Again, we do not have any discovery materials on these issues, and as noted above, Friedman Wang has stressed their frustration in not receiving more evidence identifying the basis for specific damages amounts claimed and linking particular damages claims to specific actions by BNYCP.  Accordingly, we anticipate that it will be some time before the strength of these claims is more readily apparent.</w:t>
      </w:r>
    </w:p>
    <w:p>
      <w:pPr>
        <w:pStyle w:val="BodyTextFirstIndent"/>
        <w:widowControl/>
        <w:jc w:val="both"/>
        <w:rPr/>
      </w:pPr>
      <w:r>
        <w:rPr/>
        <w:t>The lack of factual information currently available makes it impossible for us to rule out that these claims will create a basis for recovery.  Based on the information we have, however, we are doubtful that PMNC can adduce the evidence necessary to support claims of the magnitude of $90 million.  However, BNYCP does appear to have some exposure on these claims in an amount that cannot be specified at this time with any particularity.</w:t>
      </w:r>
    </w:p>
    <w:p>
      <w:pPr>
        <w:pStyle w:val="BodyTextFirstIndent"/>
        <w:widowControl/>
        <w:jc w:val="both"/>
        <w:rPr/>
      </w:pPr>
      <w:r>
        <w:rPr/>
        <w:t>To further analyze these claims, it would be helpful to know whether Enron’s consultant understands, as a factual matter, whether PMNC delivered additional value to the Facility in connection with undocumented changes, whether PMNC was forced to conduct its operations under such disruptive circumstances that it was required to spend amounts far beyond those anticipated in the Contract, and perhaps most importantly, the extent to which PMNC can assign specific dollar amounts to the laundry list of injuries it alleges.</w:t>
      </w:r>
    </w:p>
    <w:p>
      <w:pPr>
        <w:pStyle w:val="Heading1"/>
        <w:widowControl/>
        <w:jc w:val="both"/>
        <w:rPr/>
      </w:pPr>
      <w:r>
        <w:rPr/>
        <w:t>C.</w:t>
        <w:tab/>
      </w:r>
      <w:r>
        <w:rPr>
          <w:u w:val="single"/>
        </w:rPr>
        <w:t>PMNC’s Claim to $47.6 million in Contract Damages and BNYCP’s Claim to Offsets of $43 million and Additional Damages of $13 million</w:t>
      </w:r>
    </w:p>
    <w:p>
      <w:pPr>
        <w:pStyle w:val="BodyTextFirstIndent"/>
        <w:widowControl/>
        <w:jc w:val="both"/>
        <w:rPr/>
      </w:pPr>
      <w:r>
        <w:rPr/>
        <w:t xml:space="preserve">It is relatively clear that PMNC did not complete the Facility on time and that BNYCP was required to expend some additional sums to complete the project and to repair defective work.  This view is even supported by PMNC’s modest claim that it “achieved </w:t>
      </w:r>
      <w:r>
        <w:rPr>
          <w:u w:val="single"/>
        </w:rPr>
        <w:t>substantial completion</w:t>
      </w:r>
      <w:r>
        <w:rPr/>
        <w:t xml:space="preserve"> of the Project (Turnover) on August 15, 1996 – less than three months after the original target date.”</w:t>
      </w:r>
      <w:r>
        <w:rPr>
          <w:rStyle w:val="FootnoteCharacters"/>
          <w:rStyle w:val="FootnoteReference"/>
        </w:rPr>
        <w:footnoteReference w:id="25"/>
      </w:r>
      <w:r>
        <w:rPr/>
        <w:t xml:space="preserve"> Although BNYCP contends that PMNC never achieved the requirements of Turnover, PMNC argues that this position is undermined by BNYCP’s commencement of commercial sale of power in November 1996.  In light of these sharply conflicting positions, it would be helpful to have guidance from Enron’s expert consultant concerning whether PMNC’s “substantial completion” should be viewed as sufficient by industry standards.</w:t>
      </w:r>
    </w:p>
    <w:p>
      <w:pPr>
        <w:pStyle w:val="BodyTextFirstIndent"/>
        <w:widowControl/>
        <w:jc w:val="both"/>
        <w:rPr/>
      </w:pPr>
      <w:r>
        <w:rPr/>
        <w:t>PMNC blames BNYCP for its difficulties in performing its obligations, particularly with meeting the schedule:  “BNYCP severely impacted job progress by its failure to timely perform its long list of obligations set forth in Section 3.4 of the Turnkey Agreement, e.g., obtain governmental and regulatory permits, dispose of hazardous materials, and act as an interface between PMNC and Con Ed.”</w:t>
      </w:r>
      <w:r>
        <w:rPr>
          <w:rStyle w:val="FootnoteCharacters"/>
          <w:rStyle w:val="FootnoteReference"/>
        </w:rPr>
        <w:footnoteReference w:id="26"/>
      </w:r>
      <w:r>
        <w:rPr/>
        <w:t xml:space="preserve">  This dispute is highly factual, and cannot be easily assessed without access to a more developed record in the case. </w:t>
      </w:r>
    </w:p>
    <w:p>
      <w:pPr>
        <w:pStyle w:val="BodyTextFirstIndent"/>
        <w:widowControl/>
        <w:jc w:val="both"/>
        <w:rPr/>
      </w:pPr>
      <w:r>
        <w:rPr/>
        <w:t>Section 8.5 of the Contract gives BNYCP the right to withhold payments.  Section 30 grants BNYCP the right to offset additional costs it incurs against any amounts due to PMNC for work performed under the Contract.  BNYCP also had the right, under Section 8.3(b), to draw down the $11.8 million letter of credit to cover the cost of needed repairs.  Nonetheless, from a practical standpoint, since the Facility was completed and is presently in commercial operation, the court will want to hear an explanation from BNYCP for each of the amounts it claims, whether by offset, damage or otherwise.</w:t>
      </w:r>
    </w:p>
    <w:p>
      <w:pPr>
        <w:pStyle w:val="BodyTextFirstIndent"/>
        <w:widowControl/>
        <w:jc w:val="both"/>
        <w:rPr/>
      </w:pPr>
      <w:r>
        <w:rPr/>
        <w:t>We understand that Enron’s consultant believes that perhaps $20 million of BNYCP’s offset claims are well grounded in the facts.  We also understand from Enron’s consultant that the HRSG repairs would cost BNYCP about $10 million.  On this basis, and in consideration of discussion of these claims above, we assume that BNYCP has $30 million in potentially valid offset and damages claims.</w:t>
      </w:r>
    </w:p>
    <w:p>
      <w:pPr>
        <w:pStyle w:val="BodyTextFirstIndent"/>
        <w:widowControl/>
        <w:jc w:val="both"/>
        <w:rPr/>
      </w:pPr>
      <w:r>
        <w:rPr/>
        <w:t>Assuming, based on this information, that the best BNYCP could reasonably hope to do in response to PMNC’s core claim for $43-48 million in damages would be to lose about $15-20 million ($43-48 million minus $30 million), it would, therefore, appear that the most likely range of liability for BNYCP on these core claims would be roughly in the $20 to $30 million range, not including interest calculations or attorneys fees.  Nor does this estimate include exposure to the $90 million in damages and oral/additional work changes.  James McCrank and other PMNC witnesses appear able to present PMNC’s claim with some force, so a greater recovery cannot be ruled out.  However, no number can assessed for this risk with any degree of certainty, at this time.</w:t>
      </w:r>
    </w:p>
    <w:p>
      <w:pPr>
        <w:pStyle w:val="Heading1"/>
        <w:widowControl/>
        <w:jc w:val="both"/>
        <w:rPr/>
      </w:pPr>
      <w:r>
        <w:rPr/>
        <w:t>D.</w:t>
        <w:tab/>
      </w:r>
      <w:r>
        <w:rPr>
          <w:u w:val="single"/>
        </w:rPr>
        <w:t>BNYCP’s Punitive Damages Claim</w:t>
      </w:r>
      <w:r>
        <w:rPr/>
        <w:tab/>
      </w:r>
    </w:p>
    <w:p>
      <w:pPr>
        <w:pStyle w:val="BodyTextFirstIndent"/>
        <w:widowControl/>
        <w:jc w:val="both"/>
        <w:rPr/>
      </w:pPr>
      <w:r>
        <w:rPr/>
        <w:t>Nothing we have seen supports BNYCP’s claim for punitive damages.  This appears to be a fairly routine, albeit large, commercial dispute where there was no outrageous behavior that shocks the conscience or would warrant damages intended to send a signal to the party involved and/or the business community that certain conduct is unacceptable.  The allegation does not appear to be one that BNYCP intends to push with vigor.</w:t>
      </w:r>
    </w:p>
    <w:p>
      <w:pPr>
        <w:pStyle w:val="Heading1"/>
        <w:widowControl/>
        <w:jc w:val="both"/>
        <w:rPr/>
      </w:pPr>
      <w:r>
        <w:rPr/>
        <w:t>E.</w:t>
        <w:tab/>
      </w:r>
      <w:r>
        <w:rPr>
          <w:u w:val="single"/>
        </w:rPr>
        <w:t>PMNC’s Claim to Pre-judgment Interest</w:t>
      </w:r>
    </w:p>
    <w:p>
      <w:pPr>
        <w:pStyle w:val="BodyTextFirstIndent"/>
        <w:widowControl/>
        <w:jc w:val="both"/>
        <w:rPr/>
      </w:pPr>
      <w:r>
        <w:rPr/>
        <w:t>In New York, pre-judgment interest is awarded in breach of contract actions pursuant to statutory mandate and is “computed from the earliest ascertainable date the cause of action existed.” C.P.L.R. 5001.  The rate of interest in New York is fixed by statute at 9% and is calculated on simple interest basis, rather than on compound basis. C.P.L.R. 5004.  Should PMNC prevail on its breach of contract action, interest would most likely be calculated from no later than January 31,1997, the date on which BNYCP terminated the Contract.  Thus, assuming that PMNC is awarded between $20 and $30 million, the current amount of pre-judgment interest due would be roughly between $8.1 and $12.2 million.</w:t>
      </w:r>
    </w:p>
    <w:p>
      <w:pPr>
        <w:pStyle w:val="Heading1"/>
        <w:widowControl/>
        <w:jc w:val="both"/>
        <w:rPr/>
      </w:pPr>
      <w:r>
        <w:rPr/>
        <w:t>F.</w:t>
        <w:tab/>
      </w:r>
      <w:r>
        <w:rPr>
          <w:u w:val="single"/>
        </w:rPr>
        <w:t>Attorneys Fees</w:t>
      </w:r>
    </w:p>
    <w:p>
      <w:pPr>
        <w:pStyle w:val="BodyTextFirstIndent"/>
        <w:widowControl/>
        <w:jc w:val="both"/>
        <w:rPr/>
      </w:pPr>
      <w:r>
        <w:rPr/>
        <w:t xml:space="preserve">Section 44 of the Contract provides that the “prevailing party ” in the Litigation will be entitled to recover its reasonable attorneys fees for any dispute arising under the Contract.  If the case is settled, presumably each side would bear its own attorneys fees and litigation expenses.  Given the fact that, based on the information available to us, it appears that BNYCP and PMNC each have claims upon which they are likely to prevail, there may be no clear “prevailing party” in the Litigation, and hence, no award of attorneys fees.     </w:t>
      </w:r>
    </w:p>
    <w:p>
      <w:pPr>
        <w:pStyle w:val="BodyTextFirstIndent"/>
        <w:widowControl/>
        <w:jc w:val="both"/>
        <w:rPr/>
      </w:pPr>
      <w:r>
        <w:rPr/>
        <w:t>We have not conducted a detailed analysis of the fees incurred or likely to be required if the case is to be tried, and Enron may have a frame of reference for likely fees of a contractor’s counsel in a case of this magnitude.  Some time ago, this firm was informed that BNYCP’s attorneys had already spent $2.5 million on the case and were predicting that discovery alone would cost $10 million.  It seems reasonable to assume, that if the case is lost, BNYCP would face exposure to PMNC’s costs for attorneys fees and litigation expenses in an amount in excess of $15 million.</w:t>
      </w:r>
    </w:p>
    <w:p>
      <w:pPr>
        <w:pStyle w:val="Heading"/>
        <w:rPr>
          <w:b/>
          <w:bCs w:val="false"/>
          <w:u w:val="none"/>
        </w:rPr>
      </w:pPr>
      <w:r>
        <w:rPr>
          <w:b/>
          <w:bCs w:val="false"/>
          <w:u w:val="none"/>
        </w:rPr>
        <w:t>vii.</w:t>
        <w:tab/>
        <w:t>Conclusion</w:t>
      </w:r>
    </w:p>
    <w:p>
      <w:pPr>
        <w:pStyle w:val="BodyTextFirstIndent"/>
        <w:jc w:val="both"/>
        <w:rPr/>
      </w:pPr>
      <w:r>
        <w:rPr/>
        <w:t xml:space="preserve">We have assessed BNYCP’s exposure in this Litigation to the extent possible given the  information we have and conclude that BNYCP faces exposure to roughly $20-30 million on the claims for the unpaid Contract balance, not including interest and attorneys fees.  We think that BNYCP may face some exposure on its claim for $90 million in contract damages, although we cannot assess the magnitude of this risk with any degree of accuracy based on the information currently available to us.  </w:t>
      </w:r>
    </w:p>
    <w:p>
      <w:pPr>
        <w:pStyle w:val="BodyTextFirstIndent"/>
        <w:rPr/>
      </w:pPr>
      <w:r>
        <w:rPr/>
      </w:r>
    </w:p>
    <w:p>
      <w:pPr>
        <w:pStyle w:val="Closing"/>
        <w:widowControl/>
        <w:jc w:val="both"/>
        <w:rPr/>
      </w:pPr>
      <w:r>
        <w:rPr/>
      </w:r>
    </w:p>
    <w:p>
      <w:pPr>
        <w:pStyle w:val="Closing"/>
        <w:widowControl/>
        <w:jc w:val="both"/>
        <w:rPr/>
      </w:pPr>
      <w:r>
        <w:rPr/>
      </w:r>
    </w:p>
    <w:p>
      <w:pPr>
        <w:pStyle w:val="Closing"/>
        <w:widowControl/>
        <w:jc w:val="both"/>
        <w:rPr/>
      </w:pPr>
      <w:r>
        <w:rPr/>
        <w:t>Attachments</w:t>
      </w:r>
    </w:p>
    <w:p>
      <w:pPr>
        <w:pStyle w:val="Closing"/>
        <w:widowControl/>
        <w:jc w:val="both"/>
        <w:rPr/>
      </w:pPr>
      <w:r>
        <w:rPr/>
      </w:r>
    </w:p>
    <w:p>
      <w:pPr>
        <w:pStyle w:val="Closing"/>
        <w:widowControl/>
        <w:jc w:val="both"/>
        <w:rPr/>
      </w:pPr>
      <w:r>
        <w:rPr/>
        <w:t>cc:</w:t>
        <w:tab/>
        <w:t>Mark Young, Esquire</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279"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TrajanBold">
    <w:charset w:val="00" w:characterSet="windows-1252"/>
    <w:family w:val="auto"/>
    <w:pitch w:val="variable"/>
  </w:font>
  <w:font w:name="GoudyOlSt BT">
    <w:charset w:val="00" w:characterSet="windows-1252"/>
    <w:family w:val="roman"/>
    <w:pitch w:val="variable"/>
  </w:font>
  <w:font w:name="GoudyTrajanRegular">
    <w:charset w:val="00" w:characterSet="windows-1252"/>
    <w:family w:val="auto"/>
    <w:pitch w:val="variable"/>
  </w:font>
  <w:font w:name="EngraversGothic BT">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Cs w:val="24"/>
      </w:rPr>
    </w:pPr>
    <w:r>
      <w:rPr>
        <w:szCs w:val="24"/>
      </w:rPr>
    </w:r>
    <w:r>
      <mc:AlternateContent>
        <mc:Choice Requires="wps">
          <w:drawing>
            <wp:anchor behindDoc="0" distT="0" distB="0" distL="0" distR="0" simplePos="0" locked="0" layoutInCell="0" allowOverlap="1" relativeHeight="18">
              <wp:simplePos x="0" y="0"/>
              <wp:positionH relativeFrom="page">
                <wp:posOffset>915035</wp:posOffset>
              </wp:positionH>
              <wp:positionV relativeFrom="page">
                <wp:align>bottom</wp:align>
              </wp:positionV>
              <wp:extent cx="61658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1658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WAS:88079.1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WAS:88079.1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34">
              <wp:simplePos x="0" y="0"/>
              <wp:positionH relativeFrom="column">
                <wp:align>center</wp:align>
              </wp:positionH>
              <wp:positionV relativeFrom="paragraph">
                <wp:posOffset>635</wp:posOffset>
              </wp:positionV>
              <wp:extent cx="253365" cy="177165"/>
              <wp:effectExtent l="0" t="0" r="0" b="0"/>
              <wp:wrapTopAndBottom/>
              <wp:docPr id="2" name="Frame3"/>
              <a:graphic xmlns:a="http://schemas.openxmlformats.org/drawingml/2006/main">
                <a:graphicData uri="http://schemas.microsoft.com/office/word/2010/wordprocessingShape">
                  <wps:wsp>
                    <wps:cNvSpPr txBox="1"/>
                    <wps:spPr>
                      <a:xfrm>
                        <a:off x="0" y="0"/>
                        <a:ext cx="253365" cy="177165"/>
                      </a:xfrm>
                      <a:prstGeom prst="rect"/>
                      <a:solidFill>
                        <a:srgbClr val="FFFFFF">
                          <a:alpha val="0"/>
                        </a:srgbClr>
                      </a:solidFill>
                    </wps:spPr>
                    <wps:txbx>
                      <w:txbxContent>
                        <w:p>
                          <w:pPr>
                            <w:pStyle w:val="Normal"/>
                            <w:widowControl/>
                            <w:rPr/>
                          </w:pPr>
                          <w:r>
                            <w:rPr>
                              <w:szCs w:val="24"/>
                            </w:rPr>
                            <w:t>-</w:t>
                          </w:r>
                          <w:r>
                            <w:rPr>
                              <w:szCs w:val="24"/>
                            </w:rPr>
                            <w:fldChar w:fldCharType="begin"/>
                          </w:r>
                          <w:r>
                            <w:rPr>
                              <w:szCs w:val="24"/>
                            </w:rPr>
                            <w:instrText xml:space="preserve"> PAGE </w:instrText>
                          </w:r>
                          <w:r>
                            <w:rPr>
                              <w:szCs w:val="24"/>
                            </w:rPr>
                            <w:fldChar w:fldCharType="separate"/>
                          </w:r>
                          <w:r>
                            <w:rPr>
                              <w:szCs w:val="24"/>
                            </w:rPr>
                            <w:t>17</w:t>
                          </w:r>
                          <w:r>
                            <w:rPr>
                              <w:szCs w:val="24"/>
                            </w:rPr>
                            <w:fldChar w:fldCharType="end"/>
                          </w:r>
                          <w:r>
                            <w:rPr>
                              <w:szCs w:val="24"/>
                            </w:rPr>
                            <w:t>-</w:t>
                          </w:r>
                        </w:p>
                      </w:txbxContent>
                    </wps:txbx>
                    <wps:bodyPr anchor="t" lIns="0" tIns="0" rIns="0" bIns="0">
                      <a:noAutofit/>
                    </wps:bodyPr>
                  </wps:wsp>
                </a:graphicData>
              </a:graphic>
            </wp:anchor>
          </w:drawing>
        </mc:Choice>
        <mc:Fallback>
          <w:pict>
            <v:rect fillcolor="#FFFFFF" style="position:absolute;rotation:-0;width:19.95pt;height:13.95pt;mso-wrap-distance-left:0pt;mso-wrap-distance-right:0pt;mso-wrap-distance-top:0pt;mso-wrap-distance-bottom:0pt;margin-top:0pt;mso-position-vertical-relative:text;margin-left:224.05pt;mso-position-horizontal:center;mso-position-horizontal-relative:text">
              <v:fill opacity="0f"/>
              <v:textbox inset="0in,0in,0in,0in">
                <w:txbxContent>
                  <w:p>
                    <w:pPr>
                      <w:pStyle w:val="Normal"/>
                      <w:widowControl/>
                      <w:rPr/>
                    </w:pPr>
                    <w:r>
                      <w:rPr>
                        <w:szCs w:val="24"/>
                      </w:rPr>
                      <w:t>-</w:t>
                    </w:r>
                    <w:r>
                      <w:rPr>
                        <w:szCs w:val="24"/>
                      </w:rPr>
                      <w:fldChar w:fldCharType="begin"/>
                    </w:r>
                    <w:r>
                      <w:rPr>
                        <w:szCs w:val="24"/>
                      </w:rPr>
                      <w:instrText xml:space="preserve"> PAGE </w:instrText>
                    </w:r>
                    <w:r>
                      <w:rPr>
                        <w:szCs w:val="24"/>
                      </w:rPr>
                      <w:fldChar w:fldCharType="separate"/>
                    </w:r>
                    <w:r>
                      <w:rPr>
                        <w:szCs w:val="24"/>
                      </w:rPr>
                      <w:t>17</w:t>
                    </w:r>
                    <w:r>
                      <w:rPr>
                        <w:szCs w:val="24"/>
                      </w:rPr>
                      <w:fldChar w:fldCharType="end"/>
                    </w:r>
                    <w:r>
                      <w:rPr>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16585"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16585"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WAS:88079.1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WAS:88079.1 </w:t>
                    </w:r>
                    <w:r>
                      <w:rPr>
                        <w:rStyle w:val="DocID"/>
                        <w:sz w:val="16"/>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jc w:val="both"/>
        <w:rPr/>
      </w:pPr>
      <w:r>
        <w:rPr>
          <w:rStyle w:val="FootnoteCharacters"/>
        </w:rPr>
        <w:footnoteRef/>
      </w:r>
      <w:r>
        <w:rPr/>
        <w:t xml:space="preserve"> </w:t>
      </w:r>
      <w:r>
        <w:rPr/>
        <w:tab/>
        <w:t>B-41 Associates, L.P. is an indirect subsidiary of the York Research Corporation and is a 5% general partner and 45% limited partner of BNYCP.</w:t>
      </w:r>
    </w:p>
  </w:footnote>
  <w:footnote w:id="3">
    <w:p>
      <w:pPr>
        <w:pStyle w:val="FootnoteText"/>
        <w:spacing w:before="0" w:after="120"/>
        <w:jc w:val="both"/>
        <w:rPr/>
      </w:pPr>
      <w:r>
        <w:rPr>
          <w:rStyle w:val="FootnoteCharacters"/>
        </w:rPr>
        <w:footnoteRef/>
      </w:r>
      <w:r>
        <w:rPr/>
        <w:t xml:space="preserve"> </w:t>
      </w:r>
      <w:r>
        <w:rPr/>
        <w:tab/>
        <w:t>The California trial court granted PMNC’s Application for a Writ of Attachment in the amount of $43 million.  This issue was fully pled by the parties at the trial court level.  BNYCP’s appeal of the trial court’s Order currently pending in the Fourth District Court of Appeal and has yet to be calendared for argument.</w:t>
      </w:r>
    </w:p>
  </w:footnote>
  <w:footnote w:id="4">
    <w:p>
      <w:pPr>
        <w:pStyle w:val="FootnoteText"/>
        <w:spacing w:before="0" w:after="120"/>
        <w:jc w:val="both"/>
        <w:rPr/>
      </w:pPr>
      <w:r>
        <w:rPr>
          <w:rStyle w:val="FootnoteCharacters"/>
        </w:rPr>
        <w:footnoteRef/>
      </w:r>
      <w:r>
        <w:rPr/>
        <w:t xml:space="preserve"> </w:t>
      </w:r>
      <w:r>
        <w:rPr/>
        <w:tab/>
        <w:t>The Parsons Corporation (“Parsons”) separately guaranteed PMNC’s performance of its obligations under the Contract.</w:t>
      </w:r>
    </w:p>
  </w:footnote>
  <w:footnote w:id="5">
    <w:p>
      <w:pPr>
        <w:pStyle w:val="FootnoteText"/>
        <w:spacing w:before="0" w:after="120"/>
        <w:jc w:val="both"/>
        <w:rPr/>
      </w:pPr>
      <w:r>
        <w:rPr>
          <w:rStyle w:val="FootnoteCharacters"/>
        </w:rPr>
        <w:footnoteRef/>
      </w:r>
      <w:r>
        <w:rPr/>
        <w:tab/>
        <w:t>BNYCP was likely under pressure to ensure PMNC’s timely completion of the Facility because BNYCP was contractually obligated to provide Con Edison with power produced by the Facility commencing November 1, 1996.</w:t>
      </w:r>
    </w:p>
  </w:footnote>
  <w:footnote w:id="6">
    <w:p>
      <w:pPr>
        <w:pStyle w:val="FootnoteText"/>
        <w:spacing w:before="0" w:after="120"/>
        <w:jc w:val="both"/>
        <w:rPr/>
      </w:pPr>
      <w:r>
        <w:rPr>
          <w:rStyle w:val="FootnoteCharacters"/>
        </w:rPr>
        <w:footnoteRef/>
      </w:r>
      <w:r>
        <w:rPr/>
        <w:t xml:space="preserve"> </w:t>
      </w:r>
      <w:r>
        <w:rPr/>
        <w:tab/>
        <w:t>Punch List means “the mutually agreed list of items of Work that remain to be completed after Turnover, which items may not affect the safety, or materially affect the reliability or operability of the Facility and may not have an estimated value, in the aggregate, in excess of Three Million Dollars ($3,000,000).” (Contract p. 7).</w:t>
      </w:r>
    </w:p>
  </w:footnote>
  <w:footnote w:id="7">
    <w:p>
      <w:pPr>
        <w:pStyle w:val="FootnoteText"/>
        <w:spacing w:before="0" w:after="120"/>
        <w:jc w:val="both"/>
        <w:rPr/>
      </w:pPr>
      <w:r>
        <w:rPr>
          <w:rStyle w:val="FootnoteCharacters"/>
        </w:rPr>
        <w:footnoteRef/>
      </w:r>
      <w:r>
        <w:rPr/>
        <w:tab/>
        <w:t xml:space="preserve">Reply Brief on Appeal of Appellants Brooklyn Navy Yard Cogeneration Partners, L.P., Mission Energy New York, Inc. and B-41 Associates, L.P. at 3.  </w:t>
      </w:r>
      <w:r>
        <w:rPr>
          <w:i/>
          <w:iCs/>
        </w:rPr>
        <w:t>See also,</w:t>
      </w:r>
      <w:r>
        <w:rPr/>
        <w:t xml:space="preserve"> Exhibit G to Elefante Affidavit – “BNYCP letter dated February 13, 1997 concerning demand for amount payable to BNYCP.”</w:t>
      </w:r>
    </w:p>
  </w:footnote>
  <w:footnote w:id="8">
    <w:p>
      <w:pPr>
        <w:pStyle w:val="FootnoteText"/>
        <w:spacing w:before="0" w:after="120"/>
        <w:jc w:val="both"/>
        <w:rPr/>
      </w:pPr>
      <w:r>
        <w:rPr>
          <w:rStyle w:val="FootnoteCharacters"/>
        </w:rPr>
        <w:footnoteRef/>
      </w:r>
      <w:r>
        <w:rPr/>
        <w:t xml:space="preserve"> </w:t>
      </w:r>
      <w:r>
        <w:rPr/>
        <w:tab/>
        <w:t>Affidavit of James M. McCrank at 21.</w:t>
      </w:r>
    </w:p>
  </w:footnote>
  <w:footnote w:id="9">
    <w:p>
      <w:pPr>
        <w:pStyle w:val="FootnoteText"/>
        <w:spacing w:before="0" w:after="120"/>
        <w:jc w:val="both"/>
        <w:rPr/>
      </w:pPr>
      <w:r>
        <w:rPr>
          <w:rStyle w:val="FootnoteCharacters"/>
        </w:rPr>
        <w:footnoteRef/>
      </w:r>
      <w:r>
        <w:rPr/>
        <w:t xml:space="preserve"> </w:t>
      </w:r>
      <w:r>
        <w:rPr/>
        <w:tab/>
      </w:r>
      <w:r>
        <w:rPr>
          <w:i/>
          <w:iCs/>
        </w:rPr>
        <w:t>Id.</w:t>
      </w:r>
      <w:r>
        <w:rPr/>
        <w:t xml:space="preserve"> at 17.</w:t>
      </w:r>
    </w:p>
  </w:footnote>
  <w:footnote w:id="10">
    <w:p>
      <w:pPr>
        <w:pStyle w:val="FootnoteText"/>
        <w:spacing w:before="0" w:after="120"/>
        <w:jc w:val="both"/>
        <w:rPr/>
      </w:pPr>
      <w:r>
        <w:rPr>
          <w:rStyle w:val="FootnoteCharacters"/>
        </w:rPr>
        <w:footnoteRef/>
      </w:r>
      <w:r>
        <w:rPr/>
        <w:t xml:space="preserve"> </w:t>
      </w:r>
      <w:r>
        <w:rPr/>
        <w:tab/>
        <w:t xml:space="preserve">The Contract provides for the reduction of Delay Liquidated Damage by revenues from energy sales, which total $6.7 million between November 1, 1996 and January 31, 1997.  </w:t>
      </w:r>
    </w:p>
  </w:footnote>
  <w:footnote w:id="11">
    <w:p>
      <w:pPr>
        <w:pStyle w:val="FootnoteText"/>
        <w:spacing w:before="0" w:after="120"/>
        <w:jc w:val="both"/>
        <w:rPr/>
      </w:pPr>
      <w:r>
        <w:rPr>
          <w:rStyle w:val="FootnoteCharacters"/>
        </w:rPr>
        <w:footnoteRef/>
      </w:r>
      <w:r>
        <w:rPr/>
        <w:t xml:space="preserve"> </w:t>
      </w:r>
      <w:r>
        <w:rPr/>
        <w:tab/>
        <w:t>PMNC’s Reply to Defendants’ Opposition to Application for Right to Attach Order and Writ of Attachment at 17.</w:t>
      </w:r>
    </w:p>
  </w:footnote>
  <w:footnote w:id="12">
    <w:p>
      <w:pPr>
        <w:pStyle w:val="FootnoteText"/>
        <w:spacing w:before="0" w:after="120"/>
        <w:ind w:firstLine="720" w:start="0" w:end="0"/>
        <w:rPr/>
      </w:pPr>
      <w:r>
        <w:rPr>
          <w:rStyle w:val="FootnoteCharacters"/>
        </w:rPr>
        <w:footnoteRef/>
      </w:r>
      <w:r>
        <w:rPr/>
        <w:t xml:space="preserve"> </w:t>
      </w:r>
      <w:r>
        <w:rPr/>
        <w:tab/>
        <w:t>Mark Irwin informs us that BNYCP has already spent approximately $6 million in repairs to the HRSG tubes over the last four years and that $11 million is a fair estimate of present and future repair costs.</w:t>
      </w:r>
    </w:p>
  </w:footnote>
  <w:footnote w:id="13">
    <w:p>
      <w:pPr>
        <w:pStyle w:val="FootnoteText"/>
        <w:spacing w:before="0" w:after="120"/>
        <w:jc w:val="both"/>
        <w:rPr/>
      </w:pPr>
      <w:r>
        <w:rPr>
          <w:rStyle w:val="FootnoteCharacters"/>
        </w:rPr>
        <w:footnoteRef/>
      </w:r>
      <w:r>
        <w:rPr/>
        <w:t xml:space="preserve"> </w:t>
      </w:r>
      <w:r>
        <w:rPr/>
        <w:tab/>
        <w:t>“Contract Balance” will be used herein to refer to the amount of money that remains unpaid under the Contract.  BNYCP alleges the Contract Balance to be $43 million, while PMNC alleges that $47.6 million remains unpaid.</w:t>
      </w:r>
    </w:p>
  </w:footnote>
  <w:footnote w:id="14">
    <w:p>
      <w:pPr>
        <w:pStyle w:val="FootnoteText"/>
        <w:spacing w:before="0" w:after="120"/>
        <w:jc w:val="both"/>
        <w:rPr/>
      </w:pPr>
      <w:r>
        <w:rPr>
          <w:rStyle w:val="FootnoteCharacters"/>
        </w:rPr>
        <w:footnoteRef/>
      </w:r>
      <w:r>
        <w:rPr/>
        <w:t xml:space="preserve"> </w:t>
      </w:r>
      <w:r>
        <w:rPr/>
        <w:tab/>
      </w:r>
      <w:r>
        <w:rPr>
          <w:i/>
          <w:iCs/>
        </w:rPr>
        <w:t>Id.</w:t>
      </w:r>
      <w:r>
        <w:rPr/>
        <w:t xml:space="preserve"> at 15.</w:t>
      </w:r>
    </w:p>
  </w:footnote>
  <w:footnote w:id="15">
    <w:p>
      <w:pPr>
        <w:pStyle w:val="FootnoteText"/>
        <w:spacing w:before="0" w:after="120"/>
        <w:jc w:val="both"/>
        <w:rPr/>
      </w:pPr>
      <w:r>
        <w:rPr>
          <w:rStyle w:val="FootnoteCharacters"/>
        </w:rPr>
        <w:footnoteRef/>
      </w:r>
      <w:r>
        <w:rPr/>
        <w:t xml:space="preserve"> </w:t>
      </w:r>
      <w:r>
        <w:rPr/>
        <w:tab/>
        <w:t>PMNC’s Answer to Second Amended and Supplemental Complaint at 7.</w:t>
      </w:r>
    </w:p>
  </w:footnote>
  <w:footnote w:id="16">
    <w:p>
      <w:pPr>
        <w:pStyle w:val="FootnoteText"/>
        <w:spacing w:before="0" w:after="120"/>
        <w:jc w:val="both"/>
        <w:rPr/>
      </w:pPr>
      <w:r>
        <w:rPr>
          <w:rStyle w:val="FootnoteCharacters"/>
        </w:rPr>
        <w:footnoteRef/>
      </w:r>
      <w:r>
        <w:rPr/>
        <w:t xml:space="preserve"> </w:t>
      </w:r>
      <w:r>
        <w:rPr/>
        <w:tab/>
        <w:t>Appellate Brief of Defendant-Respondents PMNC, A Joint Venture, Parsons Main of New York, Inc., NAB Construction Corporation, L.K. Comstock &amp; Company, Inc., and Parsons Corporation (hereafter “PMNC App. Br.”) at 28-29 (</w:t>
      </w:r>
      <w:r>
        <w:rPr>
          <w:i/>
          <w:iCs/>
        </w:rPr>
        <w:t>citations</w:t>
      </w:r>
      <w:r>
        <w:rPr/>
        <w:t xml:space="preserve"> </w:t>
      </w:r>
      <w:r>
        <w:rPr>
          <w:i/>
          <w:iCs/>
        </w:rPr>
        <w:t>omitted</w:t>
      </w:r>
      <w:r>
        <w:rPr/>
        <w:t>).</w:t>
      </w:r>
    </w:p>
  </w:footnote>
  <w:footnote w:id="17">
    <w:p>
      <w:pPr>
        <w:pStyle w:val="FootnoteText"/>
        <w:spacing w:before="0" w:after="120"/>
        <w:jc w:val="both"/>
        <w:rPr/>
      </w:pPr>
      <w:r>
        <w:rPr>
          <w:rStyle w:val="FootnoteCharacters"/>
        </w:rPr>
        <w:footnoteRef/>
      </w:r>
      <w:r>
        <w:rPr/>
        <w:t xml:space="preserve"> </w:t>
      </w:r>
      <w:r>
        <w:rPr/>
        <w:tab/>
        <w:t>Supplemental Affidavit of Pierre Lescaut at 2.</w:t>
      </w:r>
    </w:p>
  </w:footnote>
  <w:footnote w:id="18">
    <w:p>
      <w:pPr>
        <w:pStyle w:val="FootnoteText"/>
        <w:spacing w:before="0" w:after="120"/>
        <w:jc w:val="both"/>
        <w:rPr/>
      </w:pPr>
      <w:r>
        <w:rPr>
          <w:rStyle w:val="FootnoteCharacters"/>
        </w:rPr>
        <w:footnoteRef/>
      </w:r>
      <w:r>
        <w:rPr/>
        <w:t xml:space="preserve"> </w:t>
      </w:r>
      <w:r>
        <w:rPr/>
        <w:tab/>
        <w:t>PMNC App. Br. at 3-4.  (</w:t>
      </w:r>
      <w:r>
        <w:rPr>
          <w:i/>
          <w:iCs/>
        </w:rPr>
        <w:t xml:space="preserve">Citing </w:t>
      </w:r>
      <w:r>
        <w:rPr/>
        <w:t>Exhibit 4-66 to PMNC’s Affidavits in Opposition – “BNYCP letter dated February 29, 1996 concerning Con Edison switchyard.”)</w:t>
      </w:r>
    </w:p>
  </w:footnote>
  <w:footnote w:id="19">
    <w:p>
      <w:pPr>
        <w:pStyle w:val="FootnoteText"/>
        <w:spacing w:before="0" w:after="120"/>
        <w:jc w:val="both"/>
        <w:rPr/>
      </w:pPr>
      <w:r>
        <w:rPr>
          <w:rStyle w:val="FootnoteCharacters"/>
        </w:rPr>
        <w:footnoteRef/>
      </w:r>
      <w:r>
        <w:rPr/>
        <w:t xml:space="preserve"> </w:t>
      </w:r>
      <w:r>
        <w:rPr/>
        <w:tab/>
        <w:t>Exhibit D to Affidavit of Vito L. Elefante.</w:t>
      </w:r>
    </w:p>
  </w:footnote>
  <w:footnote w:id="20">
    <w:p>
      <w:pPr>
        <w:pStyle w:val="FootnoteText"/>
        <w:spacing w:before="0" w:after="120"/>
        <w:jc w:val="both"/>
        <w:rPr/>
      </w:pPr>
      <w:r>
        <w:rPr>
          <w:rStyle w:val="FootnoteCharacters"/>
        </w:rPr>
        <w:footnoteRef/>
      </w:r>
      <w:r>
        <w:rPr/>
        <w:t xml:space="preserve"> </w:t>
      </w:r>
      <w:r>
        <w:rPr/>
        <w:tab/>
        <w:t>February 10, 1997, Affidavit of Arthur V. Allgauer at 3.</w:t>
      </w:r>
    </w:p>
  </w:footnote>
  <w:footnote w:id="21">
    <w:p>
      <w:pPr>
        <w:pStyle w:val="FootnoteText"/>
        <w:spacing w:before="0" w:after="120"/>
        <w:jc w:val="both"/>
        <w:rPr/>
      </w:pPr>
      <w:r>
        <w:rPr>
          <w:rStyle w:val="FootnoteCharacters"/>
        </w:rPr>
        <w:footnoteRef/>
      </w:r>
      <w:r>
        <w:rPr/>
        <w:t xml:space="preserve"> </w:t>
      </w:r>
      <w:r>
        <w:rPr/>
        <w:tab/>
        <w:t>February 19, 1997, Declaration of Edward B. Hopkins at 23.</w:t>
      </w:r>
    </w:p>
  </w:footnote>
  <w:footnote w:id="22">
    <w:p>
      <w:pPr>
        <w:pStyle w:val="FootnoteText"/>
        <w:spacing w:before="0" w:after="120"/>
        <w:jc w:val="both"/>
        <w:rPr/>
      </w:pPr>
      <w:r>
        <w:rPr>
          <w:rStyle w:val="FootnoteCharacters"/>
        </w:rPr>
        <w:footnoteRef/>
      </w:r>
      <w:r>
        <w:rPr/>
        <w:t xml:space="preserve"> </w:t>
      </w:r>
      <w:r>
        <w:rPr/>
        <w:tab/>
        <w:t>February 10, 1997, Affidavit of Arthur V. Allgauer at 5.</w:t>
      </w:r>
    </w:p>
  </w:footnote>
  <w:footnote w:id="23">
    <w:p>
      <w:pPr>
        <w:pStyle w:val="FootnoteText"/>
        <w:spacing w:before="0" w:after="120"/>
        <w:jc w:val="both"/>
        <w:rPr/>
      </w:pPr>
      <w:r>
        <w:rPr>
          <w:rStyle w:val="FootnoteCharacters"/>
        </w:rPr>
        <w:footnoteRef/>
      </w:r>
      <w:r>
        <w:rPr/>
        <w:t xml:space="preserve"> </w:t>
      </w:r>
      <w:r>
        <w:rPr/>
        <w:tab/>
        <w:t>Affidavit of James M. McCrank at 7-8.</w:t>
      </w:r>
    </w:p>
  </w:footnote>
  <w:footnote w:id="24">
    <w:p>
      <w:pPr>
        <w:pStyle w:val="FootnoteText"/>
        <w:spacing w:before="0" w:after="120"/>
        <w:jc w:val="both"/>
        <w:rPr/>
      </w:pPr>
      <w:r>
        <w:rPr>
          <w:rStyle w:val="FootnoteCharacters"/>
        </w:rPr>
        <w:footnoteRef/>
      </w:r>
      <w:r>
        <w:rPr/>
        <w:t xml:space="preserve"> </w:t>
      </w:r>
      <w:r>
        <w:rPr/>
        <w:tab/>
      </w:r>
      <w:r>
        <w:rPr>
          <w:i/>
          <w:iCs/>
        </w:rPr>
        <w:t>Id.</w:t>
      </w:r>
      <w:r>
        <w:rPr/>
        <w:t xml:space="preserve"> at 8.</w:t>
      </w:r>
    </w:p>
  </w:footnote>
  <w:footnote w:id="25">
    <w:p>
      <w:pPr>
        <w:pStyle w:val="FootnoteText"/>
        <w:spacing w:before="0" w:after="120"/>
        <w:jc w:val="both"/>
        <w:rPr/>
      </w:pPr>
      <w:r>
        <w:rPr>
          <w:rStyle w:val="FootnoteCharacters"/>
        </w:rPr>
        <w:footnoteRef/>
      </w:r>
      <w:r>
        <w:rPr/>
        <w:t xml:space="preserve"> </w:t>
      </w:r>
      <w:r>
        <w:rPr/>
        <w:tab/>
        <w:t>PMNC App. Br. at 4 (</w:t>
      </w:r>
      <w:r>
        <w:rPr>
          <w:i/>
          <w:iCs/>
        </w:rPr>
        <w:t>emphasis added</w:t>
      </w:r>
      <w:r>
        <w:rPr/>
        <w:t>).  PMNC’s Project Manager, James M. McCrank claims that PMNC met this date. Affidavit of James M. McCrank at 17.</w:t>
      </w:r>
    </w:p>
  </w:footnote>
  <w:footnote w:id="26">
    <w:p>
      <w:pPr>
        <w:pStyle w:val="FootnoteText"/>
        <w:spacing w:before="0" w:after="120"/>
        <w:jc w:val="both"/>
        <w:rPr/>
      </w:pPr>
      <w:r>
        <w:rPr>
          <w:rStyle w:val="FootnoteCharacters"/>
        </w:rPr>
        <w:footnoteRef/>
      </w:r>
      <w:r>
        <w:rPr/>
        <w:t xml:space="preserve"> </w:t>
      </w:r>
      <w:r>
        <w:rPr/>
        <w:tab/>
      </w:r>
      <w:r>
        <w:rPr>
          <w:i/>
          <w:iCs/>
        </w:rPr>
        <w:t>Id</w:t>
      </w:r>
      <w:r>
        <w:rPr/>
        <w:t>. at 3.</w:t>
      </w:r>
      <w:r>
        <w:rPr>
          <w:vertAlign w:val="superscript"/>
        </w:rPr>
        <w:t>14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EngraversGothic BT" w:hAnsi="EngraversGothic BT" w:cs="EngraversGothic BT"/>
        <w:spacing w:val="15"/>
        <w:szCs w:val="24"/>
      </w:rPr>
    </w:pPr>
    <w:r>
      <w:rPr>
        <w:rFonts w:cs="EngraversGothic BT" w:ascii="EngraversGothic BT" w:hAnsi="EngraversGothic BT"/>
        <w:spacing w:val="15"/>
        <w:szCs w:val="24"/>
      </w:rPr>
      <w:t>Andrews &amp; Kurth</w:t>
    </w:r>
  </w:p>
  <w:p>
    <w:pPr>
      <w:pStyle w:val="Normal"/>
      <w:widowControl/>
      <w:jc w:val="center"/>
      <w:rPr>
        <w:rFonts w:ascii="EngraversGothic BT" w:hAnsi="EngraversGothic BT" w:cs="EngraversGothic BT"/>
        <w:spacing w:val="15"/>
        <w:szCs w:val="24"/>
      </w:rPr>
    </w:pPr>
    <w:r>
      <w:rPr>
        <w:rFonts w:cs="EngraversGothic BT" w:ascii="EngraversGothic BT" w:hAnsi="EngraversGothic BT"/>
        <w:spacing w:val="15"/>
        <w:szCs w:val="24"/>
      </w:rPr>
      <w:t>l.l.p.</w:t>
    </w:r>
  </w:p>
  <w:p>
    <w:pPr>
      <w:pStyle w:val="Normal"/>
      <w:widowControl/>
      <w:jc w:val="center"/>
      <w:rPr>
        <w:rFonts w:ascii="EngraversGothic BT" w:hAnsi="EngraversGothic BT" w:cs="EngraversGothic BT"/>
        <w:spacing w:val="15"/>
        <w:szCs w:val="24"/>
      </w:rPr>
    </w:pPr>
    <w:r>
      <w:rPr>
        <w:rFonts w:cs="EngraversGothic BT" w:ascii="EngraversGothic BT" w:hAnsi="EngraversGothic BT"/>
        <w:spacing w:val="15"/>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120" w:after="240"/>
      <w:ind w:hanging="720" w:start="1440" w:end="0"/>
      <w:outlineLvl w:val="0"/>
    </w:pPr>
    <w:rPr>
      <w:rFonts w:cs="Arial"/>
      <w:bCs/>
      <w:kern w:val="2"/>
      <w:sz w:val="24"/>
      <w:szCs w:val="32"/>
    </w:rPr>
  </w:style>
  <w:style w:type="paragraph" w:styleId="Heading2">
    <w:name w:val="heading 2"/>
    <w:basedOn w:val="Normal"/>
    <w:next w:val="Normal"/>
    <w:qFormat/>
    <w:pPr>
      <w:keepNext w:val="true"/>
      <w:numPr>
        <w:ilvl w:val="1"/>
        <w:numId w:val="1"/>
      </w:numPr>
      <w:spacing w:before="120" w:after="240"/>
      <w:ind w:firstLine="1440" w:start="0" w:end="0"/>
      <w:outlineLvl w:val="1"/>
    </w:pPr>
    <w:rPr>
      <w:rFonts w:cs="Arial"/>
      <w:bCs/>
      <w:iCs/>
      <w:sz w:val="24"/>
      <w:szCs w:val="28"/>
    </w:rPr>
  </w:style>
  <w:style w:type="character" w:styleId="DefaultParagraphFont">
    <w:name w:val="Default Paragraph Font"/>
    <w:qFormat/>
    <w:rPr/>
  </w:style>
  <w:style w:type="character" w:styleId="DocID">
    <w:name w:val="DocID"/>
    <w:basedOn w:val="DefaultParagraphFont"/>
    <w:qFormat/>
    <w:rPr>
      <w:sz w:val="12"/>
      <w:szCs w:val="1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120" w:after="240"/>
      <w:outlineLvl w:val="0"/>
    </w:pPr>
    <w:rPr>
      <w:rFonts w:cs="Arial"/>
      <w:bCs/>
      <w:caps/>
      <w:kern w:val="2"/>
      <w:szCs w:val="32"/>
      <w:u w:val="single"/>
    </w:rPr>
  </w:style>
  <w:style w:type="paragraph" w:styleId="BodyText">
    <w:name w:val="Body Text"/>
    <w:basedOn w:val="Normal"/>
    <w:pPr>
      <w:spacing w:before="0" w:after="120"/>
      <w:ind w:firstLine="216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ind w:hanging="0" w:start="720" w:end="0"/>
      <w:jc w:val="both"/>
    </w:pPr>
    <w:rPr>
      <w:rFonts w:ascii="Times New Roman" w:hAnsi="Times New Roman" w:eastAsia="Times New Roman" w:cs="Times New Roman"/>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120"/>
      <w:ind w:firstLine="720" w:start="0" w:end="0"/>
    </w:pPr>
    <w:rPr>
      <w:sz w:val="20"/>
    </w:rPr>
  </w:style>
  <w:style w:type="paragraph" w:styleId="BodyTextFirstIndent">
    <w:name w:val="Body Text First Indent"/>
    <w:basedOn w:val="BodyText"/>
    <w:qFormat/>
    <w:pPr>
      <w:spacing w:before="0" w:after="240"/>
      <w:ind w:firstLine="720" w:start="0" w:end="0"/>
    </w:pPr>
    <w:rPr>
      <w:sz w:val="24"/>
    </w:rPr>
  </w:style>
  <w:style w:type="paragraph" w:styleId="Style12">
    <w:name w:val="Style1"/>
    <w:basedOn w:val="Normal"/>
    <w:qFormat/>
    <w:pPr>
      <w:widowControl/>
      <w:tabs>
        <w:tab w:val="left" w:pos="720" w:leader="none"/>
        <w:tab w:val="left" w:pos="1440" w:leader="none"/>
        <w:tab w:val="left" w:pos="2160" w:leader="none"/>
      </w:tabs>
      <w:ind w:hanging="2160" w:start="2160" w:end="0"/>
      <w:jc w:val="both"/>
    </w:pPr>
    <w:rPr>
      <w:sz w:val="24"/>
      <w:szCs w:val="24"/>
    </w:rPr>
  </w:style>
  <w:style w:type="paragraph" w:styleId="Style21">
    <w:name w:val="Style2"/>
    <w:basedOn w:val="Style12"/>
    <w:qFormat/>
    <w:pPr>
      <w:spacing w:before="240" w:after="240"/>
    </w:pPr>
    <w:rPr/>
  </w:style>
  <w:style w:type="paragraph" w:styleId="Style31">
    <w:name w:val="Style3"/>
    <w:basedOn w:val="Style21"/>
    <w:qFormat/>
    <w:pPr>
      <w:spacing w:before="120" w:after="120"/>
    </w:pPr>
    <w:rPr/>
  </w:style>
  <w:style w:type="paragraph" w:styleId="BlockText">
    <w:name w:val="Block Text"/>
    <w:basedOn w:val="Normal"/>
    <w:qFormat/>
    <w:pPr>
      <w:spacing w:before="0" w:after="120"/>
      <w:ind w:hanging="0" w:start="1440" w:end="1440"/>
      <w:jc w:val="both"/>
    </w:pPr>
    <w:rPr/>
  </w:style>
  <w:style w:type="paragraph" w:styleId="BulletIndent">
    <w:name w:val="Bullet Indent"/>
    <w:basedOn w:val="Normal"/>
    <w:qFormat/>
    <w:pPr>
      <w:widowControl/>
      <w:spacing w:before="0" w:after="240"/>
      <w:ind w:hanging="0" w:start="1440" w:end="1440"/>
      <w:jc w:val="both"/>
    </w:pPr>
    <w:rPr>
      <w:sz w:val="24"/>
      <w:szCs w:val="24"/>
    </w:rPr>
  </w:style>
  <w:style w:type="paragraph" w:styleId="Closing">
    <w:name w:val="Clos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2001-07-11T10:32:00Z</dcterms:created>
  <dc:creator>A&amp;K</dc:creator>
  <dc:description/>
  <dc:language>en-CA</dc:language>
  <cp:lastModifiedBy>A&amp;K</cp:lastModifiedBy>
  <cp:lastPrinted>2001-07-11T07:10:00Z</cp:lastPrinted>
  <dcterms:modified xsi:type="dcterms:W3CDTF">2001-07-11T10:32:00Z</dcterms:modified>
  <cp:revision>3</cp:revision>
  <dc:subject/>
  <dc:title>ANDREwS &amp; KURTH 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WAS:88079.1 </vt:lpwstr>
  </property>
</Properties>
</file>