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sz w:val="32"/>
        </w:rPr>
      </w:pPr>
      <w:r>
        <w:rPr>
          <w:b/>
          <w:sz w:val="32"/>
        </w:rPr>
        <w:t>CLOSING AGENDA</w:t>
      </w:r>
    </w:p>
    <w:p>
      <w:pPr>
        <w:pStyle w:val="Normal"/>
        <w:suppressAutoHyphens w:val="true"/>
        <w:jc w:val="center"/>
        <w:rPr>
          <w:b/>
          <w:sz w:val="32"/>
        </w:rPr>
      </w:pPr>
      <w:r>
        <w:rPr>
          <w:b/>
          <w:sz w:val="32"/>
        </w:rPr>
      </w:r>
    </w:p>
    <w:p>
      <w:pPr>
        <w:pStyle w:val="Normal"/>
        <w:suppressAutoHyphens w:val="true"/>
        <w:jc w:val="center"/>
        <w:rPr>
          <w:b/>
        </w:rPr>
      </w:pPr>
      <w:r>
        <w:rPr>
          <w:b/>
        </w:rPr>
        <w:t>TERMINATION OF COST SHARING AGREEMENT</w:t>
      </w:r>
    </w:p>
    <w:p>
      <w:pPr>
        <w:pStyle w:val="Normal"/>
        <w:suppressAutoHyphens w:val="true"/>
        <w:jc w:val="center"/>
        <w:rPr>
          <w:b/>
        </w:rPr>
      </w:pPr>
      <w:r>
        <w:rPr>
          <w:b/>
        </w:rPr>
      </w:r>
    </w:p>
    <w:p>
      <w:pPr>
        <w:pStyle w:val="Normal"/>
        <w:numPr>
          <w:ilvl w:val="0"/>
          <w:numId w:val="2"/>
        </w:numPr>
        <w:suppressAutoHyphens w:val="true"/>
        <w:jc w:val="center"/>
        <w:rPr>
          <w:b/>
        </w:rPr>
      </w:pPr>
      <w:r>
        <w:rPr>
          <w:b/>
        </w:rPr>
        <w:t>between –</w:t>
      </w:r>
    </w:p>
    <w:p>
      <w:pPr>
        <w:pStyle w:val="Normal"/>
        <w:suppressAutoHyphens w:val="true"/>
        <w:jc w:val="center"/>
        <w:rPr>
          <w:b/>
        </w:rPr>
      </w:pPr>
      <w:r>
        <w:rPr>
          <w:b/>
        </w:rPr>
      </w:r>
    </w:p>
    <w:p>
      <w:pPr>
        <w:pStyle w:val="Normal"/>
        <w:suppressAutoHyphens w:val="true"/>
        <w:jc w:val="center"/>
        <w:rPr>
          <w:b/>
        </w:rPr>
      </w:pPr>
      <w:r>
        <w:rPr>
          <w:b/>
        </w:rPr>
        <w:t>[ENRON PARTIES]</w:t>
      </w:r>
    </w:p>
    <w:p>
      <w:pPr>
        <w:pStyle w:val="Normal"/>
        <w:suppressAutoHyphens w:val="true"/>
        <w:jc w:val="center"/>
        <w:rPr>
          <w:b/>
        </w:rPr>
      </w:pPr>
      <w:r>
        <w:rPr>
          <w:b/>
        </w:rPr>
      </w:r>
    </w:p>
    <w:p>
      <w:pPr>
        <w:pStyle w:val="Normal"/>
        <w:numPr>
          <w:ilvl w:val="0"/>
          <w:numId w:val="2"/>
        </w:numPr>
        <w:suppressAutoHyphens w:val="true"/>
        <w:jc w:val="center"/>
        <w:rPr>
          <w:b/>
        </w:rPr>
      </w:pPr>
      <w:r>
        <w:rPr>
          <w:b/>
        </w:rPr>
        <w:t>and –</w:t>
      </w:r>
    </w:p>
    <w:p>
      <w:pPr>
        <w:pStyle w:val="Normal"/>
        <w:suppressAutoHyphens w:val="true"/>
        <w:jc w:val="center"/>
        <w:rPr>
          <w:b/>
        </w:rPr>
      </w:pPr>
      <w:r>
        <w:rPr>
          <w:b/>
        </w:rPr>
      </w:r>
    </w:p>
    <w:p>
      <w:pPr>
        <w:pStyle w:val="Normal"/>
        <w:suppressAutoHyphens w:val="true"/>
        <w:jc w:val="center"/>
        <w:rPr>
          <w:b/>
        </w:rPr>
      </w:pPr>
      <w:r>
        <w:rPr>
          <w:b/>
        </w:rPr>
        <w:t>ENRON CANADA CORP.</w:t>
      </w:r>
    </w:p>
    <w:p>
      <w:pPr>
        <w:pStyle w:val="Normal"/>
        <w:suppressAutoHyphens w:val="true"/>
        <w:jc w:val="center"/>
        <w:rPr>
          <w:b/>
        </w:rPr>
      </w:pPr>
      <w:r>
        <w:rPr>
          <w:b/>
        </w:rPr>
      </w:r>
    </w:p>
    <w:p>
      <w:pPr>
        <w:pStyle w:val="Normal"/>
        <w:suppressAutoHyphens w:val="true"/>
        <w:rPr>
          <w:b/>
        </w:rPr>
      </w:pPr>
      <w:r>
        <w:rPr>
          <w:b/>
        </w:rPr>
      </w:r>
    </w:p>
    <w:p>
      <w:pPr>
        <w:pStyle w:val="Normal"/>
        <w:suppressAutoHyphens w:val="true"/>
        <w:ind w:hanging="3600" w:start="3600" w:end="0"/>
        <w:rPr/>
      </w:pPr>
      <w:r>
        <w:rPr/>
        <w:t>Closing Date:</w:t>
        <w:tab/>
      </w:r>
      <w:r>
        <w:rPr>
          <w:b/>
        </w:rPr>
        <w:t>[</w:t>
      </w:r>
      <w:r>
        <w:rPr>
          <w:rFonts w:eastAsia="Symbol" w:cs="Symbol" w:ascii="Symbol" w:hAnsi="Symbol"/>
          <w:b/>
        </w:rPr>
        <w:sym w:font="Symbol" w:char="f0b7"/>
      </w:r>
      <w:r>
        <w:rPr>
          <w:b/>
        </w:rPr>
        <w:t>]</w:t>
      </w:r>
      <w:r>
        <w:rPr/>
        <w:t>, 2002</w:t>
      </w:r>
    </w:p>
    <w:p>
      <w:pPr>
        <w:pStyle w:val="Normal"/>
        <w:suppressAutoHyphens w:val="true"/>
        <w:ind w:start="3600" w:end="0"/>
        <w:rPr/>
      </w:pPr>
      <w:r>
        <w:rPr/>
      </w:r>
    </w:p>
    <w:p>
      <w:pPr>
        <w:pStyle w:val="Normal"/>
        <w:suppressAutoHyphens w:val="true"/>
        <w:ind w:hanging="3600" w:start="3600" w:end="0"/>
        <w:rPr/>
      </w:pPr>
      <w:r>
        <w:rPr/>
        <w:t>Time of Closing:</w:t>
        <w:tab/>
      </w:r>
      <w:r>
        <w:rPr>
          <w:b/>
        </w:rPr>
        <w:t>[</w:t>
      </w:r>
      <w:r>
        <w:rPr>
          <w:rFonts w:eastAsia="Symbol" w:cs="Symbol" w:ascii="Symbol" w:hAnsi="Symbol"/>
          <w:b/>
        </w:rPr>
        <w:sym w:font="Symbol" w:char="f0b7"/>
      </w:r>
      <w:r>
        <w:rPr>
          <w:b/>
        </w:rPr>
        <w:t>]</w:t>
      </w:r>
    </w:p>
    <w:p>
      <w:pPr>
        <w:pStyle w:val="Normal"/>
        <w:suppressAutoHyphens w:val="true"/>
        <w:ind w:hanging="3600" w:start="3600" w:end="0"/>
        <w:rPr/>
      </w:pPr>
      <w:r>
        <w:rPr/>
      </w:r>
    </w:p>
    <w:p>
      <w:pPr>
        <w:pStyle w:val="Normal"/>
        <w:suppressAutoHyphens w:val="true"/>
        <w:ind w:hanging="3600" w:start="3600" w:end="0"/>
        <w:rPr/>
      </w:pPr>
      <w:r>
        <w:rPr/>
        <w:t>Place of Closing:</w:t>
        <w:tab/>
        <w:t>Blake, Cassels &amp; Graydon LLP</w:t>
      </w:r>
    </w:p>
    <w:p>
      <w:pPr>
        <w:pStyle w:val="Normal"/>
        <w:suppressAutoHyphens w:val="true"/>
        <w:ind w:start="3600" w:end="0"/>
        <w:rPr/>
      </w:pPr>
      <w:r>
        <w:rPr/>
        <w:t>3500, 855 - 2</w:t>
      </w:r>
      <w:r>
        <w:rPr>
          <w:vertAlign w:val="superscript"/>
        </w:rPr>
        <w:t>nd</w:t>
      </w:r>
      <w:r>
        <w:rPr/>
        <w:t xml:space="preserve"> Street SW</w:t>
      </w:r>
    </w:p>
    <w:p>
      <w:pPr>
        <w:pStyle w:val="Normal"/>
        <w:suppressAutoHyphens w:val="true"/>
        <w:ind w:start="3600" w:end="0"/>
        <w:rPr/>
      </w:pPr>
      <w:r>
        <w:rPr/>
        <w:t>Calgary, Alberta</w:t>
      </w:r>
    </w:p>
    <w:p>
      <w:pPr>
        <w:pStyle w:val="Normal"/>
        <w:suppressAutoHyphens w:val="true"/>
        <w:ind w:start="3600" w:end="0"/>
        <w:rPr/>
      </w:pPr>
      <w:r>
        <w:rPr/>
      </w:r>
    </w:p>
    <w:p>
      <w:pPr>
        <w:pStyle w:val="Normal"/>
        <w:suppressAutoHyphens w:val="true"/>
        <w:ind w:hanging="3600" w:start="3600" w:end="0"/>
        <w:rPr/>
      </w:pPr>
      <w:r>
        <w:rPr/>
        <w:t>Parties:</w:t>
        <w:tab/>
      </w:r>
      <w:r>
        <w:rPr>
          <w:b/>
        </w:rPr>
        <w:t>[Enron Parties]</w:t>
      </w:r>
      <w:r>
        <w:rPr/>
        <w:t xml:space="preserve"> represented by:</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suppressAutoHyphens w:val="true"/>
        <w:ind w:hanging="3600" w:start="3600" w:end="0"/>
        <w:rPr/>
      </w:pPr>
      <w:r>
        <w:rPr/>
      </w:r>
    </w:p>
    <w:p>
      <w:pPr>
        <w:pStyle w:val="Normal"/>
        <w:suppressAutoHyphens w:val="true"/>
        <w:ind w:start="3600" w:end="0"/>
        <w:rPr/>
      </w:pPr>
      <w:r>
        <w:rPr/>
        <w:t>Enron Canada Corp. (“ECC”), represented by:</w:t>
      </w:r>
    </w:p>
    <w:p>
      <w:pPr>
        <w:pStyle w:val="Normal"/>
        <w:suppressAutoHyphens w:val="true"/>
        <w:ind w:start="3600" w:end="0"/>
        <w:rPr/>
      </w:pPr>
      <w:r>
        <w:rPr/>
        <w:tab/>
        <w:t>Kyle D. Kitagawa</w:t>
      </w:r>
    </w:p>
    <w:p>
      <w:pPr>
        <w:pStyle w:val="Normal"/>
        <w:suppressAutoHyphens w:val="true"/>
        <w:ind w:start="3600" w:end="0"/>
        <w:rPr/>
      </w:pPr>
      <w:r>
        <w:rPr/>
      </w:r>
    </w:p>
    <w:p>
      <w:pPr>
        <w:pStyle w:val="Normal"/>
        <w:suppressAutoHyphens w:val="true"/>
        <w:ind w:start="3600" w:end="0"/>
        <w:rPr/>
      </w:pPr>
      <w:r>
        <w:rPr/>
        <w:t xml:space="preserve">Weil, Gotshal &amp; Manges LLP ("Weil"), counsel to </w:t>
      </w:r>
      <w:r>
        <w:rPr>
          <w:b/>
        </w:rPr>
        <w:t>[Enron Parties]</w:t>
      </w:r>
      <w:r>
        <w:rPr/>
        <w:t>, represented by:</w:t>
      </w:r>
    </w:p>
    <w:p>
      <w:pPr>
        <w:pStyle w:val="Normal"/>
        <w:suppressAutoHyphens w:val="true"/>
        <w:ind w:start="3600" w:end="0"/>
        <w:rPr/>
      </w:pPr>
      <w:r>
        <w:rPr/>
        <w:tab/>
        <w:t>Mary Korby</w:t>
      </w:r>
    </w:p>
    <w:p>
      <w:pPr>
        <w:pStyle w:val="Normal"/>
        <w:suppressAutoHyphens w:val="true"/>
        <w:ind w:start="3600" w:end="0"/>
        <w:rPr/>
      </w:pPr>
      <w:r>
        <w:rPr/>
        <w:tab/>
      </w:r>
      <w:r>
        <w:rPr>
          <w:b/>
        </w:rPr>
        <w:t>[</w:t>
      </w:r>
      <w:r>
        <w:rPr>
          <w:rFonts w:eastAsia="Symbol" w:cs="Symbol" w:ascii="Symbol" w:hAnsi="Symbol"/>
          <w:b/>
        </w:rPr>
        <w:sym w:font="Symbol" w:char="f0b7"/>
      </w:r>
      <w:r>
        <w:rPr>
          <w:b/>
        </w:rPr>
        <w:t>]</w:t>
      </w:r>
    </w:p>
    <w:p>
      <w:pPr>
        <w:pStyle w:val="Normal"/>
        <w:suppressAutoHyphens w:val="true"/>
        <w:ind w:start="3600" w:end="0"/>
        <w:rPr>
          <w:b/>
        </w:rPr>
      </w:pPr>
      <w:r>
        <w:rPr>
          <w:b/>
        </w:rPr>
      </w:r>
    </w:p>
    <w:p>
      <w:pPr>
        <w:pStyle w:val="Normal"/>
        <w:suppressAutoHyphens w:val="true"/>
        <w:ind w:start="3600" w:end="0"/>
        <w:rPr/>
      </w:pPr>
      <w:r>
        <w:rPr/>
        <w:t>Blake, Cassels &amp; Graydon LLP (“Blakes”), counsel to ECC, represented by:</w:t>
      </w:r>
    </w:p>
    <w:p>
      <w:pPr>
        <w:pStyle w:val="Normal"/>
        <w:suppressAutoHyphens w:val="true"/>
        <w:ind w:start="3600" w:end="0"/>
        <w:rPr/>
      </w:pPr>
      <w:r>
        <w:rPr/>
        <w:tab/>
        <w:t>Susan M. Grundy</w:t>
      </w:r>
    </w:p>
    <w:p>
      <w:pPr>
        <w:pStyle w:val="Normal"/>
        <w:suppressAutoHyphens w:val="true"/>
        <w:ind w:start="3600" w:end="0"/>
        <w:rPr/>
      </w:pPr>
      <w:r>
        <w:rPr/>
        <w:tab/>
        <w:t>Michael N. Knapp</w:t>
      </w:r>
    </w:p>
    <w:p>
      <w:pPr>
        <w:pStyle w:val="Normal"/>
        <w:suppressAutoHyphens w:val="true"/>
        <w:ind w:start="3600" w:end="0"/>
        <w:rPr/>
      </w:pPr>
      <w:r>
        <w:rPr/>
      </w:r>
    </w:p>
    <w:p>
      <w:pPr>
        <w:pStyle w:val="Normal"/>
        <w:keepNext w:val="true"/>
        <w:keepLines/>
        <w:suppressAutoHyphens w:val="true"/>
        <w:rPr>
          <w:b/>
          <w:u w:val="single"/>
        </w:rPr>
      </w:pPr>
      <w:r>
        <w:rPr>
          <w:b/>
          <w:u w:val="single"/>
        </w:rPr>
        <w:t>CLOSING PROCEDURES:</w:t>
      </w:r>
    </w:p>
    <w:p>
      <w:pPr>
        <w:pStyle w:val="Normal"/>
        <w:keepNext w:val="true"/>
        <w:keepLines/>
        <w:suppressAutoHyphens w:val="true"/>
        <w:rPr/>
      </w:pPr>
      <w:r>
        <w:rPr/>
      </w:r>
    </w:p>
    <w:p>
      <w:pPr>
        <w:pStyle w:val="Normal"/>
        <w:keepNext w:val="true"/>
        <w:keepLines/>
        <w:suppressAutoHyphens w:val="true"/>
        <w:ind w:start="720" w:end="0"/>
        <w:rPr/>
      </w:pPr>
      <w:r>
        <w:rPr/>
        <w:t xml:space="preserve">This Closing Agenda provides for the documents and deliveries to be made on the Closing Date in connection with the termination of the cost sharing agreements between the </w:t>
      </w:r>
      <w:r>
        <w:rPr>
          <w:b/>
        </w:rPr>
        <w:t xml:space="preserve">[Enron </w:t>
      </w:r>
      <w:r>
        <w:rPr>
          <w:b/>
          <w:sz w:val="26"/>
        </w:rPr>
        <w:t>Parties]</w:t>
      </w:r>
      <w:r>
        <w:rPr>
          <w:sz w:val="26"/>
        </w:rPr>
        <w:t xml:space="preserve"> and ECC</w:t>
      </w:r>
      <w:r>
        <w:rPr/>
        <w:t xml:space="preserve">.  Capitalized terms used but not defined in this Closing Agenda shall have the meaning given to them in </w:t>
      </w:r>
      <w:r>
        <w:rPr>
          <w:b/>
        </w:rPr>
        <w:t>[</w:t>
      </w:r>
      <w:r>
        <w:rPr>
          <w:rFonts w:eastAsia="Symbol" w:cs="Symbol" w:ascii="Symbol" w:hAnsi="Symbol"/>
          <w:b/>
        </w:rPr>
        <w:sym w:font="Symbol" w:char="f0b7"/>
      </w:r>
      <w:r>
        <w:rPr>
          <w:b/>
        </w:rPr>
        <w:t>]</w:t>
      </w:r>
      <w:r>
        <w:rPr/>
        <w:t>.</w:t>
      </w:r>
    </w:p>
    <w:p>
      <w:pPr>
        <w:pStyle w:val="Normal"/>
        <w:keepNext w:val="true"/>
        <w:suppressAutoHyphens w:val="true"/>
        <w:ind w:start="720" w:end="0"/>
        <w:rPr/>
      </w:pPr>
      <w:r>
        <w:rPr/>
      </w:r>
    </w:p>
    <w:p>
      <w:pPr>
        <w:pStyle w:val="Normal"/>
        <w:suppressAutoHyphens w:val="true"/>
        <w:ind w:start="720" w:end="0"/>
        <w:rPr/>
      </w:pPr>
      <w:r>
        <w:rPr/>
        <w:t>All documents and deliveries shall not be considered delivered until each Party has indicated through its counsel that it is satisfied with the documents and deliveries to be received by it, has agreed to the release for delivery the documents required to be delivered by it and is satisfied that all other matters to be undertaken in respect of the closing (other than those matters indicated as Post-Closing Matters) have been completed to each Party’s satisfaction.</w:t>
      </w:r>
    </w:p>
    <w:p>
      <w:pPr>
        <w:pStyle w:val="Normal"/>
        <w:suppressAutoHyphens w:val="true"/>
        <w:ind w:start="720" w:end="0"/>
        <w:rPr/>
      </w:pPr>
      <w:r>
        <w:rPr/>
      </w:r>
    </w:p>
    <w:p>
      <w:pPr>
        <w:pStyle w:val="Normal"/>
        <w:suppressAutoHyphens w:val="true"/>
        <w:spacing w:before="0" w:after="240"/>
        <w:ind w:start="720" w:end="0"/>
        <w:rPr/>
      </w:pPr>
      <w:r>
        <w:rPr/>
        <w:t>Upon each Party confirming through its counsel that (i) all of the documents and deliveries it expects to receive in form acceptable to it have been tabled for delivery, (ii) to release for delivery the documents and deliveries required to be delivered by it, and (iii) that it is satisfied that all other matters to be undertaken in respect of this closing have been completed to its satisfaction (other than those matters indicated as Post-Closing Matters) such documents and deliveries shall be released and delivered as between the Parties in the order listed below and shall forthwith become effective in accordance with their terms as of the effective date of such documents.</w:t>
      </w:r>
    </w:p>
    <w:p>
      <w:pPr>
        <w:pStyle w:val="Normal"/>
        <w:suppressAutoHyphens w:val="true"/>
        <w:ind w:start="720" w:end="0"/>
        <w:rPr/>
      </w:pPr>
      <w:r>
        <w:rPr/>
        <w:t>A Party tabling a document or other matters for delivery shall be considered to have accepted the terms of those closing procedures.</w:t>
      </w:r>
    </w:p>
    <w:p>
      <w:pPr>
        <w:pStyle w:val="Normal"/>
        <w:suppressAutoHyphens w:val="true"/>
        <w:ind w:start="720" w:end="0"/>
        <w:rPr/>
      </w:pPr>
      <w:r>
        <w:rPr/>
      </w:r>
    </w:p>
    <w:p>
      <w:pPr>
        <w:pStyle w:val="Normal"/>
        <w:suppressAutoHyphens w:val="true"/>
        <w:ind w:start="720" w:end="0"/>
        <w:rPr/>
      </w:pPr>
      <w:r>
        <w:rPr/>
        <w:t>All documents listed below are to be tabled and held in escrow until all deliveries outlined in the said Sections have been completed and all parties have agreed to terminate the escrow of such documents.</w:t>
      </w:r>
      <w:r>
        <w:br w:type="page"/>
      </w:r>
    </w:p>
    <w:p>
      <w:pPr>
        <w:pStyle w:val="Normal"/>
        <w:suppressAutoHyphens w:val="true"/>
        <w:ind w:start="720" w:end="0"/>
        <w:rPr/>
      </w:pPr>
      <w:r>
        <w:rPr/>
      </w:r>
    </w:p>
    <w:tbl>
      <w:tblPr>
        <w:tblW w:w="9576" w:type="dxa"/>
        <w:jc w:val="start"/>
        <w:tblInd w:w="0" w:type="dxa"/>
        <w:tblLayout w:type="fixed"/>
        <w:tblCellMar>
          <w:top w:w="0" w:type="dxa"/>
          <w:start w:w="108" w:type="dxa"/>
          <w:bottom w:w="0" w:type="dxa"/>
          <w:end w:w="108" w:type="dxa"/>
        </w:tblCellMar>
      </w:tblPr>
      <w:tblGrid>
        <w:gridCol w:w="5148"/>
        <w:gridCol w:w="1530"/>
        <w:gridCol w:w="1440"/>
        <w:gridCol w:w="1458"/>
      </w:tblGrid>
      <w:tr>
        <w:trPr>
          <w:tblHeader w:val="true"/>
        </w:trPr>
        <w:tc>
          <w:tcPr>
            <w:tcW w:w="5148" w:type="dxa"/>
            <w:tcBorders>
              <w:bottom w:val="single" w:sz="4" w:space="0" w:color="000000"/>
            </w:tcBorders>
            <w:vAlign w:val="bottom"/>
          </w:tcPr>
          <w:p>
            <w:pPr>
              <w:pStyle w:val="Normal"/>
              <w:suppressAutoHyphens w:val="true"/>
              <w:snapToGrid w:val="false"/>
              <w:rPr>
                <w:b/>
                <w:sz w:val="20"/>
              </w:rPr>
            </w:pPr>
            <w:r>
              <w:rPr>
                <w:b/>
                <w:sz w:val="20"/>
              </w:rPr>
            </w:r>
          </w:p>
          <w:p>
            <w:pPr>
              <w:pStyle w:val="Normal"/>
              <w:suppressAutoHyphens w:val="true"/>
              <w:rPr>
                <w:sz w:val="20"/>
              </w:rPr>
            </w:pPr>
            <w:r>
              <w:rPr>
                <w:b/>
                <w:sz w:val="20"/>
              </w:rPr>
              <w:t>Item Delivered By</w:t>
            </w:r>
          </w:p>
        </w:tc>
        <w:tc>
          <w:tcPr>
            <w:tcW w:w="1530" w:type="dxa"/>
            <w:tcBorders>
              <w:bottom w:val="single" w:sz="4" w:space="0" w:color="000000"/>
            </w:tcBorders>
            <w:vAlign w:val="bottom"/>
          </w:tcPr>
          <w:p>
            <w:pPr>
              <w:pStyle w:val="Normal"/>
              <w:suppressAutoHyphens w:val="true"/>
              <w:spacing w:before="120" w:after="0"/>
              <w:jc w:val="center"/>
              <w:rPr>
                <w:sz w:val="20"/>
              </w:rPr>
            </w:pPr>
            <w:r>
              <w:rPr>
                <w:b/>
                <w:sz w:val="20"/>
              </w:rPr>
              <w:t>Tabled By</w:t>
            </w:r>
          </w:p>
        </w:tc>
        <w:tc>
          <w:tcPr>
            <w:tcW w:w="1440" w:type="dxa"/>
            <w:tcBorders>
              <w:bottom w:val="single" w:sz="4" w:space="0" w:color="000000"/>
            </w:tcBorders>
            <w:vAlign w:val="bottom"/>
          </w:tcPr>
          <w:p>
            <w:pPr>
              <w:pStyle w:val="Normal"/>
              <w:suppressAutoHyphens w:val="true"/>
              <w:spacing w:before="120" w:after="0"/>
              <w:jc w:val="center"/>
              <w:rPr>
                <w:sz w:val="20"/>
              </w:rPr>
            </w:pPr>
            <w:r>
              <w:rPr>
                <w:b/>
                <w:sz w:val="20"/>
              </w:rPr>
              <w:t>Delivered To</w:t>
            </w:r>
          </w:p>
        </w:tc>
        <w:tc>
          <w:tcPr>
            <w:tcW w:w="1458" w:type="dxa"/>
            <w:tcBorders>
              <w:bottom w:val="single" w:sz="4" w:space="0" w:color="000000"/>
            </w:tcBorders>
            <w:vAlign w:val="bottom"/>
          </w:tcPr>
          <w:p>
            <w:pPr>
              <w:pStyle w:val="Normal"/>
              <w:suppressAutoHyphens w:val="true"/>
              <w:spacing w:before="120" w:after="0"/>
              <w:jc w:val="center"/>
              <w:rPr>
                <w:b/>
                <w:sz w:val="20"/>
              </w:rPr>
            </w:pPr>
            <w:r>
              <w:rPr>
                <w:b/>
                <w:sz w:val="20"/>
              </w:rPr>
              <w:t>Prepared or Obtained by</w:t>
            </w:r>
          </w:p>
        </w:tc>
      </w:tr>
      <w:tr>
        <w:trPr/>
        <w:tc>
          <w:tcPr>
            <w:tcW w:w="5148" w:type="dxa"/>
            <w:tcBorders/>
          </w:tcPr>
          <w:p>
            <w:pPr>
              <w:pStyle w:val="Factum2L1"/>
              <w:numPr>
                <w:ilvl w:val="0"/>
                <w:numId w:val="3"/>
              </w:numPr>
              <w:spacing w:before="120" w:after="0"/>
              <w:ind w:hanging="0" w:start="0"/>
              <w:jc w:val="start"/>
              <w:rPr>
                <w:b/>
                <w:u w:val="single"/>
              </w:rPr>
            </w:pPr>
            <w:r>
              <w:rPr>
                <w:b/>
                <w:u w:val="single"/>
              </w:rPr>
              <w:t>Pre-Closing Documents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3"/>
              </w:numPr>
              <w:spacing w:before="120" w:after="0"/>
              <w:ind w:hanging="0" w:start="0"/>
              <w:rPr/>
            </w:pPr>
            <w:r>
              <w:rPr/>
              <w:t>Master Agreement between Enron Corp., Enron North America Corp., Enron Net Works L.L.C. and UBS AG.</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4"/>
              <w:numPr>
                <w:ilvl w:val="3"/>
                <w:numId w:val="3"/>
              </w:numPr>
              <w:spacing w:before="120" w:after="0"/>
              <w:ind w:hanging="0" w:start="0"/>
              <w:rPr/>
            </w:pPr>
            <w:r>
              <w:rPr/>
              <w:t>Comprehensive License Agreement between Enron Corp., Enron North America Corp., Enron Net Works L.L.C. and UBS AG.</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4"/>
              <w:numPr>
                <w:ilvl w:val="3"/>
                <w:numId w:val="3"/>
              </w:numPr>
              <w:spacing w:before="120" w:after="0"/>
              <w:ind w:hanging="0" w:start="0"/>
              <w:rPr/>
            </w:pPr>
            <w:r>
              <w:rPr/>
              <w:t>U.S. Bankruptcy Court Order approving Master Agreement and Comprehensive License Agreement.</w:t>
            </w:r>
          </w:p>
        </w:tc>
        <w:tc>
          <w:tcPr>
            <w:tcW w:w="1530" w:type="dxa"/>
            <w:tcBorders/>
          </w:tcPr>
          <w:p>
            <w:pPr>
              <w:pStyle w:val="Normal"/>
              <w:suppressAutoHyphens w:val="true"/>
              <w:spacing w:before="120" w:after="0"/>
              <w:jc w:val="center"/>
              <w:rPr>
                <w:sz w:val="20"/>
              </w:rPr>
            </w:pPr>
            <w:r>
              <w:rPr>
                <w:sz w:val="20"/>
              </w:rPr>
              <w:t>N/A</w:t>
            </w:r>
          </w:p>
        </w:tc>
        <w:tc>
          <w:tcPr>
            <w:tcW w:w="1440" w:type="dxa"/>
            <w:tcBorders/>
          </w:tcPr>
          <w:p>
            <w:pPr>
              <w:pStyle w:val="Normal"/>
              <w:suppressAutoHyphens w:val="true"/>
              <w:spacing w:before="120" w:after="0"/>
              <w:jc w:val="center"/>
              <w:rPr>
                <w:sz w:val="20"/>
              </w:rPr>
            </w:pPr>
            <w:r>
              <w:rPr>
                <w:sz w:val="20"/>
              </w:rPr>
              <w:t>N/A</w:t>
            </w:r>
          </w:p>
        </w:tc>
        <w:tc>
          <w:tcPr>
            <w:tcW w:w="1458" w:type="dxa"/>
            <w:tcBorders/>
          </w:tcPr>
          <w:p>
            <w:pPr>
              <w:pStyle w:val="Normal"/>
              <w:suppressAutoHyphens w:val="true"/>
              <w:spacing w:before="120" w:after="120"/>
              <w:jc w:val="center"/>
              <w:rPr>
                <w:sz w:val="20"/>
              </w:rPr>
            </w:pPr>
            <w:r>
              <w:rPr>
                <w:sz w:val="20"/>
              </w:rPr>
              <w:t>N/A</w:t>
            </w:r>
          </w:p>
        </w:tc>
      </w:tr>
      <w:tr>
        <w:trPr/>
        <w:tc>
          <w:tcPr>
            <w:tcW w:w="5148" w:type="dxa"/>
            <w:tcBorders/>
          </w:tcPr>
          <w:p>
            <w:pPr>
              <w:pStyle w:val="Factum2L1"/>
              <w:numPr>
                <w:ilvl w:val="0"/>
                <w:numId w:val="3"/>
              </w:numPr>
              <w:spacing w:before="120" w:after="0"/>
              <w:ind w:hanging="0" w:start="0"/>
              <w:rPr>
                <w:b/>
                <w:u w:val="single"/>
              </w:rPr>
            </w:pPr>
            <w:r>
              <w:rPr>
                <w:b/>
                <w:u w:val="single"/>
              </w:rPr>
              <w:t>Termination of Cost Sharing Agreements</w:t>
            </w:r>
          </w:p>
          <w:p>
            <w:pPr>
              <w:pStyle w:val="NumContinue"/>
              <w:ind w:start="0" w:end="0"/>
              <w:rPr>
                <w:b/>
                <w:sz w:val="20"/>
                <w:u w:val="single"/>
              </w:rPr>
            </w:pPr>
            <w:r>
              <w:rPr>
                <w:b/>
                <w:sz w:val="20"/>
                <w:u w:val="single"/>
              </w:rPr>
            </w:r>
          </w:p>
        </w:tc>
        <w:tc>
          <w:tcPr>
            <w:tcW w:w="1530" w:type="dxa"/>
            <w:tcBorders/>
          </w:tcPr>
          <w:p>
            <w:pPr>
              <w:pStyle w:val="Normal"/>
              <w:suppressAutoHyphens w:val="true"/>
              <w:snapToGrid w:val="false"/>
              <w:spacing w:before="120" w:after="120"/>
              <w:jc w:val="center"/>
              <w:rPr>
                <w:b/>
                <w:sz w:val="20"/>
              </w:rPr>
            </w:pPr>
            <w:r>
              <w:rPr>
                <w:b/>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4"/>
              </w:numPr>
              <w:spacing w:before="120" w:after="0"/>
              <w:ind w:hanging="0" w:start="0"/>
              <w:rPr/>
            </w:pPr>
            <w:r>
              <w:rPr/>
              <w:t xml:space="preserve">Termination Agreement regarding Cost Sharing Agreements between ECC and </w:t>
            </w:r>
            <w:r>
              <w:rPr>
                <w:b/>
              </w:rPr>
              <w:t>[Enron Parties]</w:t>
            </w:r>
            <w:r>
              <w:rPr/>
              <w:t xml:space="preserve"> providing for, among other things,</w:t>
            </w:r>
          </w:p>
          <w:p>
            <w:pPr>
              <w:pStyle w:val="Factum2L5"/>
              <w:numPr>
                <w:ilvl w:val="4"/>
                <w:numId w:val="3"/>
              </w:numPr>
              <w:ind w:hanging="0" w:start="0"/>
              <w:rPr/>
            </w:pPr>
            <w:r>
              <w:rPr/>
              <w:t>termination of ECC Cost Sharing Agreements; and</w:t>
            </w:r>
          </w:p>
          <w:p>
            <w:pPr>
              <w:pStyle w:val="Factum2L5"/>
              <w:numPr>
                <w:ilvl w:val="4"/>
                <w:numId w:val="3"/>
              </w:numPr>
              <w:ind w:hanging="0" w:start="0"/>
              <w:rPr/>
            </w:pPr>
            <w:r>
              <w:rPr/>
              <w:t xml:space="preserve">transfer of certain tangible and intangible assets and data of ECC to </w:t>
            </w:r>
            <w:r>
              <w:rPr>
                <w:b/>
              </w:rPr>
              <w:t>[Enron Parties]</w:t>
            </w:r>
            <w:r>
              <w:rPr/>
              <w:t>, which assets are not the subject of the sale by ECC to UBS.</w:t>
            </w:r>
          </w:p>
          <w:p>
            <w:pPr>
              <w:pStyle w:val="NumContinue"/>
              <w:rPr/>
            </w:pPr>
            <w:r>
              <w:rPr/>
            </w:r>
          </w:p>
        </w:tc>
        <w:tc>
          <w:tcPr>
            <w:tcW w:w="1530" w:type="dxa"/>
            <w:tcBorders/>
          </w:tcPr>
          <w:p>
            <w:pPr>
              <w:pStyle w:val="Normal"/>
              <w:suppressAutoHyphens w:val="true"/>
              <w:spacing w:before="120" w:after="120"/>
              <w:jc w:val="center"/>
              <w:rPr>
                <w:b/>
                <w:sz w:val="20"/>
              </w:rPr>
            </w:pPr>
            <w:r>
              <w:rPr>
                <w:b/>
                <w:sz w:val="20"/>
              </w:rPr>
              <w:t>[Enron Parties]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sz w:val="20"/>
              </w:rPr>
            </w:pPr>
            <w:r>
              <w:rPr>
                <w:sz w:val="20"/>
              </w:rPr>
              <w:t>Weil</w:t>
            </w:r>
          </w:p>
        </w:tc>
      </w:tr>
      <w:tr>
        <w:trPr/>
        <w:tc>
          <w:tcPr>
            <w:tcW w:w="5148" w:type="dxa"/>
            <w:tcBorders/>
          </w:tcPr>
          <w:p>
            <w:pPr>
              <w:pStyle w:val="Factum2L4"/>
              <w:numPr>
                <w:ilvl w:val="3"/>
                <w:numId w:val="3"/>
              </w:numPr>
              <w:spacing w:before="120" w:after="0"/>
              <w:ind w:hanging="0" w:start="0"/>
              <w:rPr/>
            </w:pPr>
            <w:r>
              <w:rPr/>
              <w:t xml:space="preserve">Cheque in the amount of </w:t>
            </w:r>
            <w:r>
              <w:rPr>
                <w:b/>
              </w:rPr>
              <w:t>[U.S. $4,000,000]</w:t>
            </w:r>
            <w:r>
              <w:rPr/>
              <w:t xml:space="preserve"> from </w:t>
            </w:r>
            <w:r>
              <w:rPr>
                <w:b/>
              </w:rPr>
              <w:t>[Enron Parties]</w:t>
            </w:r>
            <w:r>
              <w:rPr/>
              <w:t xml:space="preserve"> regarding Termination of Cost Sharing Agreements.</w:t>
            </w:r>
          </w:p>
        </w:tc>
        <w:tc>
          <w:tcPr>
            <w:tcW w:w="1530" w:type="dxa"/>
            <w:tcBorders/>
          </w:tcPr>
          <w:p>
            <w:pPr>
              <w:pStyle w:val="Normal"/>
              <w:suppressAutoHyphens w:val="true"/>
              <w:spacing w:before="120" w:after="120"/>
              <w:jc w:val="center"/>
              <w:rPr>
                <w:b/>
                <w:sz w:val="20"/>
              </w:rPr>
            </w:pPr>
            <w:r>
              <w:rPr>
                <w:b/>
                <w:sz w:val="20"/>
              </w:rPr>
              <w:t>[Enron Parties]</w:t>
            </w:r>
          </w:p>
        </w:tc>
        <w:tc>
          <w:tcPr>
            <w:tcW w:w="1440" w:type="dxa"/>
            <w:tcBorders/>
          </w:tcPr>
          <w:p>
            <w:pPr>
              <w:pStyle w:val="Normal"/>
              <w:suppressAutoHyphens w:val="true"/>
              <w:spacing w:before="120" w:after="120"/>
              <w:jc w:val="center"/>
              <w:rPr>
                <w:sz w:val="20"/>
              </w:rPr>
            </w:pPr>
            <w:r>
              <w:rPr>
                <w:sz w:val="20"/>
              </w:rPr>
              <w:t>ECC</w:t>
            </w:r>
          </w:p>
        </w:tc>
        <w:tc>
          <w:tcPr>
            <w:tcW w:w="1458" w:type="dxa"/>
            <w:tcBorders/>
          </w:tcPr>
          <w:p>
            <w:pPr>
              <w:pStyle w:val="Normal"/>
              <w:suppressAutoHyphens w:val="true"/>
              <w:spacing w:before="120" w:after="120"/>
              <w:jc w:val="center"/>
              <w:rPr>
                <w:b/>
                <w:sz w:val="20"/>
              </w:rPr>
            </w:pPr>
            <w:r>
              <w:rPr>
                <w:b/>
                <w:sz w:val="20"/>
              </w:rPr>
              <w:t>[Enron Parties]</w:t>
            </w:r>
          </w:p>
        </w:tc>
      </w:tr>
      <w:tr>
        <w:trPr/>
        <w:tc>
          <w:tcPr>
            <w:tcW w:w="5148" w:type="dxa"/>
            <w:tcBorders/>
          </w:tcPr>
          <w:p>
            <w:pPr>
              <w:pStyle w:val="Factum2L4"/>
              <w:numPr>
                <w:ilvl w:val="3"/>
                <w:numId w:val="3"/>
              </w:numPr>
              <w:spacing w:before="120" w:after="0"/>
              <w:ind w:hanging="0" w:start="0"/>
              <w:rPr/>
            </w:pPr>
            <w:r>
              <w:rPr/>
              <w:t xml:space="preserve">Receipt from ECC to </w:t>
            </w:r>
            <w:r>
              <w:rPr>
                <w:b/>
              </w:rPr>
              <w:t>[Enron Parties]</w:t>
            </w:r>
            <w:r>
              <w:rPr/>
              <w:t>.</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b/>
                <w:sz w:val="20"/>
              </w:rPr>
              <w:t>[Enron Parties]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1"/>
              <w:numPr>
                <w:ilvl w:val="0"/>
                <w:numId w:val="3"/>
              </w:numPr>
              <w:spacing w:before="120" w:after="0"/>
              <w:ind w:hanging="0" w:start="0"/>
              <w:jc w:val="start"/>
              <w:rPr>
                <w:b/>
                <w:u w:val="single"/>
              </w:rPr>
            </w:pPr>
            <w:r>
              <w:rPr>
                <w:b/>
                <w:u w:val="single"/>
              </w:rPr>
              <w:t>ECC Intellectual Property</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5"/>
              </w:numPr>
              <w:spacing w:before="120" w:after="0"/>
              <w:ind w:hanging="0" w:start="0"/>
              <w:rPr>
                <w:b/>
              </w:rPr>
            </w:pPr>
            <w:r>
              <w:rPr>
                <w:b/>
              </w:rPr>
              <w:t>[License Back Agreement] [Note to draft: Consider license back to ECC of Intel.]</w:t>
            </w:r>
          </w:p>
        </w:tc>
        <w:tc>
          <w:tcPr>
            <w:tcW w:w="1530" w:type="dxa"/>
            <w:tcBorders/>
          </w:tcPr>
          <w:p>
            <w:pPr>
              <w:pStyle w:val="Normal"/>
              <w:suppressAutoHyphens w:val="true"/>
              <w:snapToGrid w:val="false"/>
              <w:spacing w:before="120" w:after="120"/>
              <w:jc w:val="center"/>
              <w:rPr>
                <w:b/>
                <w:sz w:val="20"/>
              </w:rPr>
            </w:pPr>
            <w:r>
              <w:rPr>
                <w:b/>
                <w:sz w:val="20"/>
              </w:rPr>
            </w:r>
          </w:p>
        </w:tc>
        <w:tc>
          <w:tcPr>
            <w:tcW w:w="1440" w:type="dxa"/>
            <w:tcBorders/>
          </w:tcPr>
          <w:p>
            <w:pPr>
              <w:pStyle w:val="Normal"/>
              <w:suppressAutoHyphens w:val="true"/>
              <w:snapToGrid w:val="false"/>
              <w:spacing w:before="120" w:after="120"/>
              <w:jc w:val="center"/>
              <w:rPr>
                <w:b/>
                <w:sz w:val="20"/>
              </w:rPr>
            </w:pPr>
            <w:r>
              <w:rPr>
                <w:b/>
                <w:sz w:val="20"/>
              </w:rPr>
            </w:r>
          </w:p>
        </w:tc>
        <w:tc>
          <w:tcPr>
            <w:tcW w:w="1458" w:type="dxa"/>
            <w:tcBorders/>
          </w:tcPr>
          <w:p>
            <w:pPr>
              <w:pStyle w:val="Normal"/>
              <w:suppressAutoHyphens w:val="true"/>
              <w:snapToGrid w:val="false"/>
              <w:spacing w:before="120" w:after="120"/>
              <w:jc w:val="center"/>
              <w:rPr>
                <w:b/>
                <w:sz w:val="20"/>
              </w:rPr>
            </w:pPr>
            <w:r>
              <w:rPr>
                <w:b/>
                <w:sz w:val="20"/>
              </w:rPr>
            </w:r>
          </w:p>
        </w:tc>
      </w:tr>
      <w:tr>
        <w:trPr/>
        <w:tc>
          <w:tcPr>
            <w:tcW w:w="5148" w:type="dxa"/>
            <w:tcBorders/>
          </w:tcPr>
          <w:p>
            <w:pPr>
              <w:pStyle w:val="Factum2L4"/>
              <w:numPr>
                <w:ilvl w:val="3"/>
                <w:numId w:val="3"/>
              </w:numPr>
              <w:spacing w:before="120" w:after="0"/>
              <w:ind w:hanging="0" w:start="0"/>
              <w:rPr>
                <w:b/>
              </w:rPr>
            </w:pPr>
            <w:r>
              <w:rPr>
                <w:b/>
              </w:rPr>
              <w:t>[License/Transfer by ECC to [Enron Parties] regarding ECC owned intellectual property]  [Note to draft: Consider ownership of ECC intellectual property (eg. PETE Software) and if there are any agreements in place affecting the same.]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b/>
                <w:sz w:val="20"/>
              </w:rPr>
            </w:pPr>
            <w:r>
              <w:rPr>
                <w:b/>
                <w:sz w:val="20"/>
              </w:rPr>
              <w:t>[Enron Parties]</w:t>
            </w:r>
          </w:p>
        </w:tc>
        <w:tc>
          <w:tcPr>
            <w:tcW w:w="1458" w:type="dxa"/>
            <w:tcBorders/>
          </w:tcPr>
          <w:p>
            <w:pPr>
              <w:pStyle w:val="Normal"/>
              <w:suppressAutoHyphens w:val="true"/>
              <w:spacing w:before="120" w:after="120"/>
              <w:jc w:val="center"/>
              <w:rPr>
                <w:b/>
                <w:sz w:val="20"/>
              </w:rPr>
            </w:pPr>
            <w:r>
              <w:rPr>
                <w:b/>
                <w:sz w:val="20"/>
              </w:rPr>
              <w:t>[Stikemans/ Blakes]</w:t>
            </w:r>
          </w:p>
        </w:tc>
      </w:tr>
      <w:tr>
        <w:trPr/>
        <w:tc>
          <w:tcPr>
            <w:tcW w:w="5148" w:type="dxa"/>
            <w:tcBorders/>
          </w:tcPr>
          <w:p>
            <w:pPr>
              <w:pStyle w:val="Factum2L1"/>
              <w:numPr>
                <w:ilvl w:val="0"/>
                <w:numId w:val="3"/>
              </w:numPr>
              <w:spacing w:before="120" w:after="0"/>
              <w:ind w:hanging="0" w:start="0"/>
              <w:rPr>
                <w:b/>
                <w:u w:val="single"/>
              </w:rPr>
            </w:pPr>
            <w:r>
              <w:rPr>
                <w:b/>
                <w:u w:val="single"/>
              </w:rPr>
              <w:t>Corporate Authorizations</w:t>
            </w:r>
          </w:p>
        </w:tc>
        <w:tc>
          <w:tcPr>
            <w:tcW w:w="1530" w:type="dxa"/>
            <w:tcBorders/>
          </w:tcPr>
          <w:p>
            <w:pPr>
              <w:pStyle w:val="Normal"/>
              <w:suppressAutoHyphens w:val="true"/>
              <w:snapToGrid w:val="false"/>
              <w:spacing w:before="120" w:after="120"/>
              <w:jc w:val="center"/>
              <w:rPr>
                <w:b/>
                <w:sz w:val="20"/>
                <w:u w:val="single"/>
              </w:rPr>
            </w:pPr>
            <w:r>
              <w:rPr>
                <w:b/>
                <w:sz w:val="20"/>
                <w:u w:val="single"/>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4"/>
              <w:numPr>
                <w:ilvl w:val="3"/>
                <w:numId w:val="6"/>
              </w:numPr>
              <w:spacing w:before="120" w:after="0"/>
              <w:ind w:hanging="0" w:start="0"/>
              <w:rPr/>
            </w:pPr>
            <w:r>
              <w:rPr>
                <w:u w:val="single"/>
              </w:rPr>
              <w:t>Corporate Authorizations of ECC</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3"/>
              </w:numPr>
              <w:spacing w:before="120" w:after="0"/>
              <w:ind w:hanging="0" w:start="0"/>
              <w:rPr/>
            </w:pPr>
            <w:r>
              <w:rPr/>
              <w:t>Certificate of Status</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5"/>
              <w:numPr>
                <w:ilvl w:val="4"/>
                <w:numId w:val="3"/>
              </w:numPr>
              <w:spacing w:before="120" w:after="0"/>
              <w:ind w:hanging="0" w:start="0"/>
              <w:rPr/>
            </w:pPr>
            <w:r>
              <w:rPr/>
              <w:t>Copy of Unanimous Shareholders Agreement</w:t>
            </w:r>
          </w:p>
        </w:tc>
        <w:tc>
          <w:tcPr>
            <w:tcW w:w="1530" w:type="dxa"/>
            <w:tcBorders/>
          </w:tcPr>
          <w:p>
            <w:pPr>
              <w:pStyle w:val="Normal"/>
              <w:suppressAutoHyphens w:val="true"/>
              <w:snapToGrid w:val="false"/>
              <w:spacing w:before="120" w:after="120"/>
              <w:jc w:val="center"/>
              <w:rPr>
                <w:sz w:val="20"/>
              </w:rPr>
            </w:pPr>
            <w:r>
              <w:rPr>
                <w:sz w:val="20"/>
              </w:rPr>
            </w:r>
          </w:p>
        </w:tc>
        <w:tc>
          <w:tcPr>
            <w:tcW w:w="1440" w:type="dxa"/>
            <w:tcBorders/>
          </w:tcPr>
          <w:p>
            <w:pPr>
              <w:pStyle w:val="Normal"/>
              <w:suppressAutoHyphens w:val="true"/>
              <w:snapToGrid w:val="false"/>
              <w:spacing w:before="120" w:after="12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r>
        <w:trPr/>
        <w:tc>
          <w:tcPr>
            <w:tcW w:w="5148" w:type="dxa"/>
            <w:tcBorders/>
          </w:tcPr>
          <w:p>
            <w:pPr>
              <w:pStyle w:val="Factum2L5"/>
              <w:numPr>
                <w:ilvl w:val="4"/>
                <w:numId w:val="3"/>
              </w:numPr>
              <w:spacing w:before="120" w:after="0"/>
              <w:ind w:hanging="0" w:start="0"/>
              <w:rPr/>
            </w:pPr>
            <w:r>
              <w:rPr/>
              <w:t xml:space="preserve">Certified copy of resolutions pursuant to Unanimous Shareholders Agreement </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5"/>
              <w:numPr>
                <w:ilvl w:val="4"/>
                <w:numId w:val="3"/>
              </w:numPr>
              <w:spacing w:before="120" w:after="0"/>
              <w:ind w:hanging="0" w:start="0"/>
              <w:rPr/>
            </w:pPr>
            <w:r>
              <w:rPr/>
              <w:t>Closing Certificate of ECC including as attachments the constating documents, by-laws and directors and shareholders resolutions as applicable</w:t>
            </w:r>
          </w:p>
        </w:tc>
        <w:tc>
          <w:tcPr>
            <w:tcW w:w="1530" w:type="dxa"/>
            <w:tcBorders/>
          </w:tcPr>
          <w:p>
            <w:pPr>
              <w:pStyle w:val="Normal"/>
              <w:suppressAutoHyphens w:val="true"/>
              <w:spacing w:before="120" w:after="120"/>
              <w:jc w:val="center"/>
              <w:rPr>
                <w:sz w:val="20"/>
              </w:rPr>
            </w:pPr>
            <w:r>
              <w:rPr>
                <w:sz w:val="20"/>
              </w:rPr>
              <w:t>ECC</w:t>
            </w:r>
          </w:p>
        </w:tc>
        <w:tc>
          <w:tcPr>
            <w:tcW w:w="1440" w:type="dxa"/>
            <w:tcBorders/>
          </w:tcPr>
          <w:p>
            <w:pPr>
              <w:pStyle w:val="Normal"/>
              <w:suppressAutoHyphens w:val="true"/>
              <w:spacing w:before="120" w:after="120"/>
              <w:jc w:val="center"/>
              <w:rPr>
                <w:sz w:val="20"/>
              </w:rPr>
            </w:pPr>
            <w:r>
              <w:rPr>
                <w:sz w:val="20"/>
              </w:rPr>
              <w:t>UBS</w:t>
            </w:r>
          </w:p>
        </w:tc>
        <w:tc>
          <w:tcPr>
            <w:tcW w:w="1458" w:type="dxa"/>
            <w:tcBorders/>
          </w:tcPr>
          <w:p>
            <w:pPr>
              <w:pStyle w:val="Normal"/>
              <w:suppressAutoHyphens w:val="true"/>
              <w:spacing w:before="120" w:after="120"/>
              <w:jc w:val="center"/>
              <w:rPr>
                <w:sz w:val="20"/>
              </w:rPr>
            </w:pPr>
            <w:r>
              <w:rPr>
                <w:sz w:val="20"/>
              </w:rPr>
              <w:t>Blakes</w:t>
            </w:r>
          </w:p>
        </w:tc>
      </w:tr>
      <w:tr>
        <w:trPr/>
        <w:tc>
          <w:tcPr>
            <w:tcW w:w="5148" w:type="dxa"/>
            <w:tcBorders/>
          </w:tcPr>
          <w:p>
            <w:pPr>
              <w:pStyle w:val="Factum2L1"/>
              <w:numPr>
                <w:ilvl w:val="0"/>
                <w:numId w:val="3"/>
              </w:numPr>
              <w:spacing w:before="120" w:after="120"/>
              <w:ind w:hanging="0" w:start="0"/>
              <w:rPr>
                <w:b/>
                <w:u w:val="single"/>
              </w:rPr>
            </w:pPr>
            <w:r>
              <w:rPr>
                <w:b/>
                <w:u w:val="single"/>
              </w:rPr>
              <w:t>Post-Closing Matters</w:t>
            </w:r>
          </w:p>
        </w:tc>
        <w:tc>
          <w:tcPr>
            <w:tcW w:w="1530" w:type="dxa"/>
            <w:tcBorders/>
          </w:tcPr>
          <w:p>
            <w:pPr>
              <w:pStyle w:val="Normal"/>
              <w:suppressAutoHyphens w:val="true"/>
              <w:snapToGrid w:val="false"/>
              <w:spacing w:before="120" w:after="0"/>
              <w:jc w:val="center"/>
              <w:rPr>
                <w:b/>
                <w:u w:val="single"/>
              </w:rPr>
            </w:pPr>
            <w:r>
              <w:rPr>
                <w:b/>
                <w:u w:val="single"/>
              </w:rPr>
            </w:r>
          </w:p>
        </w:tc>
        <w:tc>
          <w:tcPr>
            <w:tcW w:w="1440" w:type="dxa"/>
            <w:tcBorders/>
          </w:tcPr>
          <w:p>
            <w:pPr>
              <w:pStyle w:val="Normal"/>
              <w:suppressAutoHyphens w:val="true"/>
              <w:snapToGrid w:val="false"/>
              <w:spacing w:before="120" w:after="0"/>
              <w:jc w:val="center"/>
              <w:rPr/>
            </w:pPr>
            <w:r>
              <w:rPr/>
            </w:r>
          </w:p>
        </w:tc>
        <w:tc>
          <w:tcPr>
            <w:tcW w:w="1458" w:type="dxa"/>
            <w:tcBorders/>
          </w:tcPr>
          <w:p>
            <w:pPr>
              <w:pStyle w:val="Normal"/>
              <w:suppressAutoHyphens w:val="true"/>
              <w:snapToGrid w:val="false"/>
              <w:spacing w:before="120" w:after="120"/>
              <w:jc w:val="center"/>
              <w:rPr/>
            </w:pPr>
            <w:r>
              <w:rPr/>
            </w:r>
          </w:p>
        </w:tc>
      </w:tr>
      <w:tr>
        <w:trPr/>
        <w:tc>
          <w:tcPr>
            <w:tcW w:w="5148" w:type="dxa"/>
            <w:tcBorders/>
          </w:tcPr>
          <w:p>
            <w:pPr>
              <w:pStyle w:val="Factum2L5"/>
              <w:numPr>
                <w:ilvl w:val="4"/>
                <w:numId w:val="3"/>
              </w:numPr>
              <w:spacing w:before="120" w:after="0"/>
              <w:ind w:hanging="0" w:start="0"/>
              <w:rPr/>
            </w:pPr>
            <w:r>
              <w:rPr>
                <w:b/>
              </w:rPr>
              <w:t>[Note to draft: Consider document evidencing ECC share of Royalty, once determined.]</w:t>
            </w:r>
          </w:p>
          <w:p>
            <w:pPr>
              <w:pStyle w:val="Factum2L5"/>
              <w:numPr>
                <w:ilvl w:val="4"/>
                <w:numId w:val="3"/>
              </w:numPr>
              <w:ind w:hanging="0" w:start="0"/>
              <w:rPr/>
            </w:pPr>
            <w:r>
              <w:rPr>
                <w:b/>
              </w:rPr>
              <w:t>[Executed copy of Comprehensive License]</w:t>
            </w:r>
          </w:p>
        </w:tc>
        <w:tc>
          <w:tcPr>
            <w:tcW w:w="1530" w:type="dxa"/>
            <w:tcBorders/>
          </w:tcPr>
          <w:p>
            <w:pPr>
              <w:pStyle w:val="Normal"/>
              <w:suppressAutoHyphens w:val="true"/>
              <w:snapToGrid w:val="false"/>
              <w:spacing w:before="120" w:after="0"/>
              <w:jc w:val="center"/>
              <w:rPr>
                <w:sz w:val="20"/>
              </w:rPr>
            </w:pPr>
            <w:r>
              <w:rPr>
                <w:sz w:val="20"/>
              </w:rPr>
            </w:r>
          </w:p>
        </w:tc>
        <w:tc>
          <w:tcPr>
            <w:tcW w:w="1440" w:type="dxa"/>
            <w:tcBorders/>
          </w:tcPr>
          <w:p>
            <w:pPr>
              <w:pStyle w:val="Normal"/>
              <w:suppressAutoHyphens w:val="true"/>
              <w:snapToGrid w:val="false"/>
              <w:spacing w:before="120" w:after="0"/>
              <w:jc w:val="center"/>
              <w:rPr>
                <w:sz w:val="20"/>
              </w:rPr>
            </w:pPr>
            <w:r>
              <w:rPr>
                <w:sz w:val="20"/>
              </w:rPr>
            </w:r>
          </w:p>
        </w:tc>
        <w:tc>
          <w:tcPr>
            <w:tcW w:w="1458" w:type="dxa"/>
            <w:tcBorders/>
          </w:tcPr>
          <w:p>
            <w:pPr>
              <w:pStyle w:val="Normal"/>
              <w:suppressAutoHyphens w:val="true"/>
              <w:snapToGrid w:val="false"/>
              <w:spacing w:before="120" w:after="120"/>
              <w:jc w:val="center"/>
              <w:rPr>
                <w:sz w:val="20"/>
              </w:rPr>
            </w:pPr>
            <w:r>
              <w:rPr>
                <w:sz w:val="20"/>
              </w:rPr>
            </w:r>
          </w:p>
        </w:tc>
      </w:tr>
    </w:tbl>
    <w:p>
      <w:pPr>
        <w:pStyle w:val="Normal"/>
        <w:tabs>
          <w:tab w:val="clear" w:pos="720"/>
          <w:tab w:val="left" w:pos="4770" w:leader="none"/>
          <w:tab w:val="left" w:pos="6300" w:leader="none"/>
        </w:tabs>
        <w:suppressAutoHyphens w:val="true"/>
        <w:rPr>
          <w:b/>
          <w:sz w:val="20"/>
        </w:rPr>
      </w:pPr>
      <w:r>
        <w:rPr>
          <w:b/>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30418522.2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30418522.2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4</w:t>
    </w:r>
    <w:r>
      <w:rPr/>
      <w:fldChar w:fldCharType="end"/>
    </w:r>
    <w:r>
      <w:rPr/>
      <w:t xml:space="preserve"> -</w:t>
    </w:r>
  </w:p>
  <w:p>
    <w:pPr>
      <w:pStyle w:val="Header"/>
      <w:jc w:val="start"/>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upperRoman"/>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upperLetter"/>
      <w:lvlText w:val="%2."/>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1440"/>
        </w:tabs>
        <w:ind w:start="1440" w:hanging="720"/>
      </w:pPr>
      <w:rPr>
        <w:smallCaps w:val="false"/>
        <w:caps w:val="false"/>
        <w:outline w:val="false"/>
        <w:dstrike w:val="false"/>
        <w:strike w:val="false"/>
        <w:vertAlign w:val="baseline"/>
        <w:position w:val="0"/>
        <w:sz w:val="24"/>
        <w:i/>
        <w:shadow w:val="false"/>
        <w:u w:val="none"/>
        <w:b w:val="false"/>
        <w:vanish w:val="false"/>
        <w:color w:val="auto"/>
      </w:rPr>
    </w:lvl>
    <w:lvl w:ilvl="3">
      <w:start w:val="1"/>
      <w:numFmt w:val="decimal"/>
      <w:lvlText w:val="%4."/>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docVars>
    <w:docVar w:name="zzmpFixedCurrentTOCScheme" w:val="Factum2"/>
    <w:docVar w:name="zzmpFixedCurScheme" w:val="Factum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style>
  <w:style w:type="character" w:styleId="WW8Num2z0">
    <w:name w:val="WW8Num2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2">
    <w:name w:val="WW8Num2z2"/>
    <w:qFormat/>
    <w:rPr>
      <w:b w:val="false"/>
      <w:i/>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b/>
      <w:caps/>
      <w:color w:val="0000FF"/>
      <w:u w:val="single"/>
    </w:rPr>
  </w:style>
  <w:style w:type="character" w:styleId="zzmpTCEntryL2">
    <w:name w:val="zzmpTCEntryL2"/>
    <w:basedOn w:val="DefaultParagraphFont"/>
    <w:qFormat/>
    <w:rPr>
      <w:color w:val="0000FF"/>
      <w:u w:val="single"/>
    </w:rPr>
  </w:style>
  <w:style w:type="character" w:styleId="zzmpTCEntryL3">
    <w:name w:val="zzmpTCEntryL3"/>
    <w:basedOn w:val="DefaultParagraphFont"/>
    <w:qFormat/>
    <w:rPr>
      <w:i/>
      <w:color w:val="0000FF"/>
      <w:u w:val="single"/>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NumContinue">
    <w:name w:val="Num Continue"/>
    <w:basedOn w:val="BodyText"/>
    <w:qFormat/>
    <w:pPr>
      <w:tabs>
        <w:tab w:val="clear" w:pos="720"/>
        <w:tab w:val="left" w:pos="4770" w:leader="none"/>
        <w:tab w:val="left" w:pos="6300" w:leader="none"/>
      </w:tabs>
      <w:suppressAutoHyphens w:val="true"/>
      <w:ind w:hanging="0" w:start="720" w:end="0"/>
    </w:pPr>
    <w:rPr/>
  </w:style>
  <w:style w:type="paragraph" w:styleId="Factum2L1">
    <w:name w:val="Factum2_L1"/>
    <w:basedOn w:val="Normal"/>
    <w:next w:val="NumContinue"/>
    <w:qFormat/>
    <w:pPr>
      <w:keepNext w:val="true"/>
      <w:numPr>
        <w:ilvl w:val="0"/>
        <w:numId w:val="3"/>
      </w:numPr>
      <w:spacing w:before="120" w:after="120"/>
      <w:outlineLvl w:val="1"/>
    </w:pPr>
    <w:rPr>
      <w:sz w:val="20"/>
      <w:lang w:val="en-US"/>
    </w:rPr>
  </w:style>
  <w:style w:type="paragraph" w:styleId="Factum2L2">
    <w:name w:val="Factum2_L2"/>
    <w:basedOn w:val="Factum2L1"/>
    <w:next w:val="NumContinue"/>
    <w:qFormat/>
    <w:pPr>
      <w:numPr>
        <w:ilvl w:val="0"/>
        <w:numId w:val="3"/>
      </w:numPr>
    </w:pPr>
    <w:rPr/>
  </w:style>
  <w:style w:type="paragraph" w:styleId="Factum2L3">
    <w:name w:val="Factum2_L3"/>
    <w:basedOn w:val="Factum2L2"/>
    <w:next w:val="NumContinue"/>
    <w:qFormat/>
    <w:pPr>
      <w:numPr>
        <w:ilvl w:val="0"/>
        <w:numId w:val="3"/>
      </w:numPr>
      <w:outlineLvl w:val="2"/>
    </w:pPr>
    <w:rPr/>
  </w:style>
  <w:style w:type="paragraph" w:styleId="Factum2L4">
    <w:name w:val="Factum2_L4"/>
    <w:basedOn w:val="Factum2L3"/>
    <w:next w:val="NumContinue"/>
    <w:qFormat/>
    <w:pPr>
      <w:keepNext w:val="false"/>
      <w:numPr>
        <w:ilvl w:val="0"/>
        <w:numId w:val="3"/>
      </w:numPr>
      <w:spacing w:before="120" w:after="0"/>
      <w:jc w:val="start"/>
      <w:outlineLvl w:val="3"/>
    </w:pPr>
    <w:rPr>
      <w:sz w:val="20"/>
    </w:rPr>
  </w:style>
  <w:style w:type="paragraph" w:styleId="Factum2L5">
    <w:name w:val="Factum2_L5"/>
    <w:basedOn w:val="Factum2L4"/>
    <w:next w:val="NumContinue"/>
    <w:qFormat/>
    <w:pPr>
      <w:numPr>
        <w:ilvl w:val="0"/>
        <w:numId w:val="3"/>
      </w:numPr>
      <w:outlineLvl w:val="4"/>
    </w:pPr>
    <w:rPr/>
  </w:style>
  <w:style w:type="paragraph" w:styleId="Factum2L6">
    <w:name w:val="Factum2_L6"/>
    <w:basedOn w:val="Factum2L5"/>
    <w:next w:val="NumContinue"/>
    <w:qFormat/>
    <w:pPr>
      <w:numPr>
        <w:ilvl w:val="0"/>
        <w:numId w:val="3"/>
      </w:numPr>
      <w:tabs>
        <w:tab w:val="clear" w:pos="720"/>
        <w:tab w:val="left" w:pos="1440" w:leader="none"/>
      </w:tabs>
      <w:outlineLvl w:val="5"/>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2002-01-31T18:20:00Z</dcterms:created>
  <dc:creator>bsi</dc:creator>
  <dc:description/>
  <dc:language>en-CA</dc:language>
  <cp:lastModifiedBy>sde</cp:lastModifiedBy>
  <cp:lastPrinted>2002-01-24T16:09:00Z</cp:lastPrinted>
  <dcterms:modified xsi:type="dcterms:W3CDTF">2002-01-31T18:24:00Z</dcterms:modified>
  <cp:revision>5</cp:revision>
  <dc:subject/>
  <dc:title>CLOSING AGENDA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30418522.2</vt:lpwstr>
  </property>
</Properties>
</file>