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w w:val="79"/>
          <w:lang w:val="en-CA"/>
        </w:rPr>
      </w:pPr>
      <w:r>
        <w:rPr>
          <w:w w:val="79"/>
          <w:lang w:val="en-CA"/>
        </w:rPr>
      </w:r>
      <w:r>
        <mc:AlternateContent>
          <mc:Choice Requires="wps">
            <w:drawing>
              <wp:anchor behindDoc="0" distT="0" distB="0" distL="114935" distR="114935" simplePos="0" locked="0" layoutInCell="1" allowOverlap="1" relativeHeight="5">
                <wp:simplePos x="0" y="0"/>
                <wp:positionH relativeFrom="column">
                  <wp:posOffset>2240280</wp:posOffset>
                </wp:positionH>
                <wp:positionV relativeFrom="page">
                  <wp:posOffset>1554480</wp:posOffset>
                </wp:positionV>
                <wp:extent cx="1554480" cy="255270"/>
                <wp:effectExtent l="0" t="0" r="0" b="0"/>
                <wp:wrapNone/>
                <wp:docPr id="1" name="Frame1"/>
                <a:graphic xmlns:a="http://schemas.openxmlformats.org/drawingml/2006/main">
                  <a:graphicData uri="http://schemas.microsoft.com/office/word/2010/wordprocessingShape">
                    <wps:wsp>
                      <wps:cNvSpPr txBox="1"/>
                      <wps:spPr>
                        <a:xfrm>
                          <a:off x="0" y="0"/>
                          <a:ext cx="1554480" cy="255270"/>
                        </a:xfrm>
                        <a:prstGeom prst="rect"/>
                        <a:solidFill>
                          <a:srgbClr val="FFFFFF"/>
                        </a:solidFill>
                      </wps:spPr>
                      <wps:txbx>
                        <w:txbxContent>
                          <w:p>
                            <w:pPr>
                              <w:pStyle w:val="Normal"/>
                              <w:rPr>
                                <w:b/>
                                <w:spacing w:val="40"/>
                              </w:rPr>
                            </w:pPr>
                            <w:r>
                              <w:rPr>
                                <w:b/>
                                <w:spacing w:val="40"/>
                              </w:rPr>
                              <w:t>MEMORANDUM</w:t>
                            </w:r>
                          </w:p>
                        </w:txbxContent>
                      </wps:txbx>
                      <wps:bodyPr anchor="t" lIns="635" tIns="635" rIns="635" bIns="635">
                        <a:noAutofit/>
                      </wps:bodyPr>
                    </wps:wsp>
                  </a:graphicData>
                </a:graphic>
              </wp:anchor>
            </w:drawing>
          </mc:Choice>
          <mc:Fallback>
            <w:pict>
              <v:rect fillcolor="#FFFFFF" style="position:absolute;rotation:-0;width:122.4pt;height:20.1pt;mso-wrap-distance-left:9.05pt;mso-wrap-distance-right:9.05pt;mso-wrap-distance-top:0pt;mso-wrap-distance-bottom:0pt;margin-top:122.4pt;mso-position-vertical-relative:page;margin-left:176.4pt;mso-position-horizontal-relative:text">
                <v:textbox inset="0.000694444444444445in,0.000694444444444445in,0.000694444444444445in,0.000694444444444445in">
                  <w:txbxContent>
                    <w:p>
                      <w:pPr>
                        <w:pStyle w:val="Normal"/>
                        <w:rPr>
                          <w:b/>
                          <w:spacing w:val="40"/>
                        </w:rPr>
                      </w:pPr>
                      <w:r>
                        <w:rPr>
                          <w:b/>
                          <w:spacing w:val="40"/>
                        </w:rPr>
                        <w:t>MEMORANDUM</w:t>
                      </w:r>
                    </w:p>
                  </w:txbxContent>
                </v:textbox>
                <w10:wrap type="none"/>
              </v:rect>
            </w:pict>
          </mc:Fallback>
        </mc:AlternateContent>
      </w:r>
    </w:p>
    <w:p>
      <w:pPr>
        <w:pStyle w:val="Normal"/>
        <w:rPr>
          <w:w w:val="79"/>
        </w:rPr>
      </w:pPr>
      <w:r>
        <w:rPr>
          <w:w w:val="79"/>
        </w:rPr>
      </w:r>
    </w:p>
    <w:p>
      <w:pPr>
        <w:pStyle w:val="Normal"/>
        <w:rPr>
          <w:w w:val="79"/>
        </w:rPr>
      </w:pPr>
      <w:r>
        <w:rPr>
          <w:w w:val="79"/>
        </w:rPr>
      </w:r>
    </w:p>
    <w:p>
      <w:pPr>
        <w:pStyle w:val="Normal"/>
        <w:rPr>
          <w:w w:val="68"/>
        </w:rPr>
      </w:pPr>
      <w:r>
        <w:rPr>
          <w:w w:val="68"/>
        </w:rPr>
      </w:r>
    </w:p>
    <w:p>
      <w:pPr>
        <w:pStyle w:val="Normal"/>
        <w:rPr>
          <w:w w:val="68"/>
          <w:lang w:val="en-CA"/>
        </w:rPr>
      </w:pPr>
      <w:r>
        <w:rPr>
          <w:w w:val="68"/>
          <w:lang w:val="en-CA"/>
        </w:rPr>
      </w:r>
      <w:r>
        <mc:AlternateContent>
          <mc:Choice Requires="wps">
            <w:drawing>
              <wp:anchor behindDoc="0" distT="0" distB="0" distL="114935" distR="114935" simplePos="0" locked="0" layoutInCell="1" allowOverlap="1" relativeHeight="4">
                <wp:simplePos x="0" y="0"/>
                <wp:positionH relativeFrom="column">
                  <wp:posOffset>-91440</wp:posOffset>
                </wp:positionH>
                <wp:positionV relativeFrom="paragraph">
                  <wp:posOffset>-356870</wp:posOffset>
                </wp:positionV>
                <wp:extent cx="3931920" cy="486410"/>
                <wp:effectExtent l="0" t="0" r="0" b="0"/>
                <wp:wrapNone/>
                <wp:docPr id="2" name="Frame2"/>
                <a:graphic xmlns:a="http://schemas.openxmlformats.org/drawingml/2006/main">
                  <a:graphicData uri="http://schemas.microsoft.com/office/word/2010/wordprocessingShape">
                    <wps:wsp>
                      <wps:cNvSpPr txBox="1"/>
                      <wps:spPr>
                        <a:xfrm>
                          <a:off x="0" y="0"/>
                          <a:ext cx="3931920" cy="486410"/>
                        </a:xfrm>
                        <a:prstGeom prst="rect"/>
                        <a:solidFill>
                          <a:srgbClr val="FFFFFF"/>
                        </a:solidFill>
                      </wps:spPr>
                      <wps:txbx>
                        <w:txbxContent>
                          <w:p>
                            <w:pPr>
                              <w:pStyle w:val="Normal"/>
                              <w:rPr>
                                <w:rFonts w:ascii="BCGLogo" w:hAnsi="BCGLogo" w:cs="BCGLogo"/>
                                <w:sz w:val="70"/>
                              </w:rPr>
                            </w:pPr>
                            <w:r>
                              <w:rPr>
                                <w:rFonts w:cs="BCGLogo" w:ascii="BCGLogo" w:hAnsi="BCGLogo"/>
                                <w:sz w:val="70"/>
                              </w:rPr>
                              <w:t>1234</w:t>
                            </w:r>
                          </w:p>
                          <w:p>
                            <w:pPr>
                              <w:pStyle w:val="Normal"/>
                              <w:jc w:val="center"/>
                              <w:rPr>
                                <w:rFonts w:ascii="BCGLogo" w:hAnsi="BCGLogo" w:cs="BCGLogo"/>
                                <w:b/>
                                <w:spacing w:val="40"/>
                                <w:sz w:val="16"/>
                              </w:rPr>
                            </w:pPr>
                            <w:r>
                              <w:rPr>
                                <w:rFonts w:cs="BCGLogo" w:ascii="BCGLogo" w:hAnsi="BCGLogo"/>
                                <w:b/>
                                <w:spacing w:val="40"/>
                                <w:sz w:val="16"/>
                              </w:rPr>
                            </w:r>
                          </w:p>
                          <w:p>
                            <w:pPr>
                              <w:pStyle w:val="Normal"/>
                              <w:jc w:val="center"/>
                              <w:rPr>
                                <w:b/>
                                <w:spacing w:val="40"/>
                                <w:sz w:val="16"/>
                              </w:rPr>
                            </w:pPr>
                            <w:r>
                              <w:rPr>
                                <w:b/>
                                <w:spacing w:val="40"/>
                                <w:sz w:val="16"/>
                              </w:rPr>
                            </w:r>
                          </w:p>
                        </w:txbxContent>
                      </wps:txbx>
                      <wps:bodyPr anchor="t" lIns="92075" tIns="46355" rIns="92075" bIns="46355">
                        <a:noAutofit/>
                      </wps:bodyPr>
                    </wps:wsp>
                  </a:graphicData>
                </a:graphic>
              </wp:anchor>
            </w:drawing>
          </mc:Choice>
          <mc:Fallback>
            <w:pict>
              <v:rect fillcolor="#FFFFFF" style="position:absolute;rotation:-0;width:309.6pt;height:38.3pt;mso-wrap-distance-left:9.05pt;mso-wrap-distance-right:9.05pt;mso-wrap-distance-top:0pt;mso-wrap-distance-bottom:0pt;margin-top:-28.1pt;mso-position-vertical-relative:text;margin-left:-7.2pt;mso-position-horizontal-relative:text">
                <v:textbox inset="0.100694444444444in,0.0506944444444444in,0.100694444444444in,0.0506944444444444in">
                  <w:txbxContent>
                    <w:p>
                      <w:pPr>
                        <w:pStyle w:val="Normal"/>
                        <w:rPr>
                          <w:rFonts w:ascii="BCGLogo" w:hAnsi="BCGLogo" w:cs="BCGLogo"/>
                          <w:sz w:val="70"/>
                        </w:rPr>
                      </w:pPr>
                      <w:r>
                        <w:rPr>
                          <w:rFonts w:cs="BCGLogo" w:ascii="BCGLogo" w:hAnsi="BCGLogo"/>
                          <w:sz w:val="70"/>
                        </w:rPr>
                        <w:t>1234</w:t>
                      </w:r>
                    </w:p>
                    <w:p>
                      <w:pPr>
                        <w:pStyle w:val="Normal"/>
                        <w:jc w:val="center"/>
                        <w:rPr>
                          <w:rFonts w:ascii="BCGLogo" w:hAnsi="BCGLogo" w:cs="BCGLogo"/>
                          <w:b/>
                          <w:spacing w:val="40"/>
                          <w:sz w:val="16"/>
                        </w:rPr>
                      </w:pPr>
                      <w:r>
                        <w:rPr>
                          <w:rFonts w:cs="BCGLogo" w:ascii="BCGLogo" w:hAnsi="BCGLogo"/>
                          <w:b/>
                          <w:spacing w:val="40"/>
                          <w:sz w:val="16"/>
                        </w:rPr>
                      </w:r>
                    </w:p>
                    <w:p>
                      <w:pPr>
                        <w:pStyle w:val="Normal"/>
                        <w:jc w:val="center"/>
                        <w:rPr>
                          <w:b/>
                          <w:spacing w:val="40"/>
                          <w:sz w:val="16"/>
                        </w:rPr>
                      </w:pPr>
                      <w:r>
                        <w:rPr>
                          <w:b/>
                          <w:spacing w:val="40"/>
                          <w:sz w:val="16"/>
                        </w:rPr>
                      </w:r>
                    </w:p>
                  </w:txbxContent>
                </v:textbox>
                <w10:wrap type="none"/>
              </v:rect>
            </w:pict>
          </mc:Fallback>
        </mc:AlternateContent>
      </w:r>
    </w:p>
    <w:p>
      <w:pPr>
        <w:pStyle w:val="Normal"/>
        <w:rPr>
          <w:spacing w:val="40"/>
          <w:w w:val="68"/>
        </w:rPr>
      </w:pPr>
      <w:r>
        <w:rPr>
          <w:spacing w:val="40"/>
          <w:w w:val="68"/>
        </w:rPr>
      </w:r>
    </w:p>
    <w:p>
      <w:pPr>
        <w:pStyle w:val="Normal"/>
        <w:rPr>
          <w:spacing w:val="60"/>
        </w:rPr>
      </w:pPr>
      <w:r>
        <w:rPr>
          <w:spacing w:val="60"/>
        </w:rPr>
      </w:r>
    </w:p>
    <w:p>
      <w:pPr>
        <w:pStyle w:val="Normal"/>
        <w:jc w:val="center"/>
        <w:rPr>
          <w:b/>
        </w:rPr>
      </w:pPr>
      <w:r>
        <w:rPr>
          <w:b/>
        </w:rPr>
        <w:t>PERSONAL AND CONFIDENTIAL</w:t>
      </w:r>
    </w:p>
    <w:p>
      <w:pPr>
        <w:pStyle w:val="Normal"/>
        <w:jc w:val="center"/>
        <w:rPr>
          <w:b/>
        </w:rPr>
      </w:pPr>
      <w:r>
        <w:rPr>
          <w:b/>
        </w:rPr>
        <w:t>PRIVILEGED SOLICITOR AND CLIENT COMMUNICATION</w:t>
      </w:r>
    </w:p>
    <w:p>
      <w:pPr>
        <w:pStyle w:val="Normal"/>
        <w:jc w:val="center"/>
        <w:rPr>
          <w:b/>
        </w:rPr>
      </w:pPr>
      <w:r>
        <w:rPr>
          <w:b/>
        </w:rPr>
      </w:r>
    </w:p>
    <w:tbl>
      <w:tblPr>
        <w:tblW w:w="9360" w:type="dxa"/>
        <w:jc w:val="start"/>
        <w:tblInd w:w="0" w:type="dxa"/>
        <w:tblLayout w:type="fixed"/>
        <w:tblCellMar>
          <w:top w:w="0" w:type="dxa"/>
          <w:start w:w="108" w:type="dxa"/>
          <w:bottom w:w="0" w:type="dxa"/>
          <w:end w:w="108" w:type="dxa"/>
        </w:tblCellMar>
      </w:tblPr>
      <w:tblGrid>
        <w:gridCol w:w="1278"/>
        <w:gridCol w:w="4302"/>
        <w:gridCol w:w="540"/>
        <w:gridCol w:w="3240"/>
      </w:tblGrid>
      <w:tr>
        <w:trPr>
          <w:trHeight w:val="120" w:hRule="atLeast"/>
        </w:trPr>
        <w:tc>
          <w:tcPr>
            <w:tcW w:w="1278" w:type="dxa"/>
            <w:tcBorders/>
          </w:tcPr>
          <w:p>
            <w:pPr>
              <w:pStyle w:val="Normal"/>
              <w:rPr>
                <w:b/>
              </w:rPr>
            </w:pPr>
            <w:r>
              <w:rPr>
                <w:b/>
              </w:rPr>
              <w:t>TO:</w:t>
            </w:r>
          </w:p>
        </w:tc>
        <w:tc>
          <w:tcPr>
            <w:tcW w:w="4302" w:type="dxa"/>
            <w:tcBorders/>
          </w:tcPr>
          <w:p>
            <w:pPr>
              <w:pStyle w:val="Normal"/>
              <w:rPr/>
            </w:pPr>
            <w:bookmarkStart w:id="0" w:name="to"/>
            <w:bookmarkEnd w:id="0"/>
            <w:r>
              <w:rPr/>
              <w:t>Distribution List</w:t>
            </w:r>
          </w:p>
        </w:tc>
        <w:tc>
          <w:tcPr>
            <w:tcW w:w="540" w:type="dxa"/>
            <w:vMerge w:val="restart"/>
            <w:tcBorders/>
          </w:tcPr>
          <w:p>
            <w:pPr>
              <w:pStyle w:val="Normal"/>
              <w:snapToGrid w:val="false"/>
              <w:rPr>
                <w:b/>
              </w:rPr>
            </w:pPr>
            <w:r>
              <w:rPr>
                <w:b/>
              </w:rPr>
            </w:r>
            <w:bookmarkStart w:id="1" w:name="cc"/>
            <w:bookmarkStart w:id="2" w:name="cc"/>
            <w:bookmarkEnd w:id="2"/>
          </w:p>
        </w:tc>
        <w:tc>
          <w:tcPr>
            <w:tcW w:w="3240" w:type="dxa"/>
            <w:vMerge w:val="restart"/>
            <w:tcBorders/>
          </w:tcPr>
          <w:p>
            <w:pPr>
              <w:pStyle w:val="Normal"/>
              <w:snapToGrid w:val="false"/>
              <w:rPr>
                <w:b/>
              </w:rPr>
            </w:pPr>
            <w:r>
              <w:rPr>
                <w:b/>
              </w:rPr>
            </w:r>
            <w:bookmarkStart w:id="3" w:name="cctext"/>
            <w:bookmarkStart w:id="4" w:name="cctext"/>
            <w:bookmarkEnd w:id="4"/>
          </w:p>
        </w:tc>
      </w:tr>
      <w:tr>
        <w:trPr>
          <w:trHeight w:val="285" w:hRule="atLeast"/>
        </w:trPr>
        <w:tc>
          <w:tcPr>
            <w:tcW w:w="1278" w:type="dxa"/>
            <w:tcBorders/>
          </w:tcPr>
          <w:p>
            <w:pPr>
              <w:pStyle w:val="Normal"/>
              <w:snapToGrid w:val="false"/>
              <w:rPr>
                <w:b/>
              </w:rPr>
            </w:pPr>
            <w:r>
              <w:rPr>
                <w:b/>
              </w:rPr>
            </w:r>
          </w:p>
        </w:tc>
        <w:tc>
          <w:tcPr>
            <w:tcW w:w="4302" w:type="dxa"/>
            <w:tcBorders/>
          </w:tcPr>
          <w:p>
            <w:pPr>
              <w:pStyle w:val="Normal"/>
              <w:snapToGrid w:val="false"/>
              <w:rPr>
                <w:b/>
              </w:rPr>
            </w:pPr>
            <w:r>
              <w:rPr>
                <w:b/>
              </w:rPr>
            </w:r>
          </w:p>
        </w:tc>
        <w:tc>
          <w:tcPr>
            <w:tcW w:w="540" w:type="dxa"/>
            <w:vMerge w:val="continue"/>
            <w:tcBorders/>
          </w:tcPr>
          <w:p>
            <w:pPr>
              <w:pStyle w:val="Normal"/>
              <w:snapToGrid w:val="false"/>
              <w:rPr>
                <w:b/>
              </w:rPr>
            </w:pPr>
            <w:r>
              <w:rPr>
                <w:b/>
              </w:rPr>
            </w:r>
          </w:p>
        </w:tc>
        <w:tc>
          <w:tcPr>
            <w:tcW w:w="3240" w:type="dxa"/>
            <w:vMerge w:val="continue"/>
            <w:tcBorders/>
          </w:tcPr>
          <w:p>
            <w:pPr>
              <w:pStyle w:val="Normal"/>
              <w:snapToGrid w:val="false"/>
              <w:rPr>
                <w:b/>
              </w:rPr>
            </w:pPr>
            <w:r>
              <w:rPr>
                <w:b/>
              </w:rPr>
            </w:r>
          </w:p>
        </w:tc>
      </w:tr>
      <w:tr>
        <w:trPr>
          <w:trHeight w:val="540" w:hRule="atLeast"/>
        </w:trPr>
        <w:tc>
          <w:tcPr>
            <w:tcW w:w="1278" w:type="dxa"/>
            <w:tcBorders/>
          </w:tcPr>
          <w:p>
            <w:pPr>
              <w:pStyle w:val="Normal"/>
              <w:rPr>
                <w:b/>
              </w:rPr>
            </w:pPr>
            <w:r>
              <w:rPr>
                <w:b/>
              </w:rPr>
              <w:t>FROM:</w:t>
            </w:r>
          </w:p>
        </w:tc>
        <w:tc>
          <w:tcPr>
            <w:tcW w:w="4302" w:type="dxa"/>
            <w:tcBorders/>
          </w:tcPr>
          <w:p>
            <w:pPr>
              <w:pStyle w:val="Normal"/>
              <w:rPr/>
            </w:pPr>
            <w:bookmarkStart w:id="5" w:name="from"/>
            <w:bookmarkEnd w:id="5"/>
            <w:r>
              <w:rPr/>
              <w:t>Daniel P. E. Fournier</w:t>
            </w:r>
          </w:p>
        </w:tc>
        <w:tc>
          <w:tcPr>
            <w:tcW w:w="540" w:type="dxa"/>
            <w:tcBorders/>
          </w:tcPr>
          <w:p>
            <w:pPr>
              <w:pStyle w:val="Normal"/>
              <w:snapToGrid w:val="false"/>
              <w:rPr/>
            </w:pPr>
            <w:r>
              <w:rPr/>
            </w:r>
          </w:p>
        </w:tc>
        <w:tc>
          <w:tcPr>
            <w:tcW w:w="3240" w:type="dxa"/>
            <w:tcBorders/>
          </w:tcPr>
          <w:p>
            <w:pPr>
              <w:pStyle w:val="Normal"/>
              <w:snapToGrid w:val="false"/>
              <w:rPr/>
            </w:pPr>
            <w:r>
              <w:rPr/>
            </w:r>
          </w:p>
        </w:tc>
      </w:tr>
      <w:tr>
        <w:trPr>
          <w:trHeight w:val="467" w:hRule="atLeast"/>
        </w:trPr>
        <w:tc>
          <w:tcPr>
            <w:tcW w:w="1278" w:type="dxa"/>
            <w:tcBorders/>
          </w:tcPr>
          <w:p>
            <w:pPr>
              <w:pStyle w:val="Normal"/>
              <w:rPr>
                <w:b/>
              </w:rPr>
            </w:pPr>
            <w:r>
              <w:rPr>
                <w:b/>
              </w:rPr>
              <w:t>DATE:</w:t>
            </w:r>
          </w:p>
        </w:tc>
        <w:tc>
          <w:tcPr>
            <w:tcW w:w="4302" w:type="dxa"/>
            <w:tcBorders/>
          </w:tcPr>
          <w:p>
            <w:pPr>
              <w:pStyle w:val="Normal"/>
              <w:rPr/>
            </w:pPr>
            <w:bookmarkStart w:id="6" w:name="date"/>
            <w:bookmarkEnd w:id="6"/>
            <w:r>
              <w:rPr/>
              <w:t>June 12, 2000</w:t>
            </w:r>
          </w:p>
        </w:tc>
        <w:tc>
          <w:tcPr>
            <w:tcW w:w="540" w:type="dxa"/>
            <w:tcBorders/>
          </w:tcPr>
          <w:p>
            <w:pPr>
              <w:pStyle w:val="Normal"/>
              <w:snapToGrid w:val="false"/>
              <w:rPr/>
            </w:pPr>
            <w:r>
              <w:rPr/>
            </w:r>
          </w:p>
        </w:tc>
        <w:tc>
          <w:tcPr>
            <w:tcW w:w="3240" w:type="dxa"/>
            <w:tcBorders/>
          </w:tcPr>
          <w:p>
            <w:pPr>
              <w:pStyle w:val="Normal"/>
              <w:snapToGrid w:val="false"/>
              <w:rPr/>
            </w:pPr>
            <w:r>
              <w:rPr/>
            </w:r>
          </w:p>
        </w:tc>
      </w:tr>
    </w:tbl>
    <w:p>
      <w:pPr>
        <w:pStyle w:val="Normal"/>
        <w:rPr>
          <w:lang w:val="en-CA"/>
        </w:rPr>
      </w:pPr>
      <w:r>
        <w:rPr>
          <w:lang w:val="en-CA"/>
        </w:rPr>
        <mc:AlternateContent>
          <mc:Choice Requires="wps">
            <w:drawing>
              <wp:anchor behindDoc="0" distT="0" distB="0" distL="114935" distR="114935" simplePos="0" locked="0" layoutInCell="0" allowOverlap="1" relativeHeight="3">
                <wp:simplePos x="0" y="0"/>
                <wp:positionH relativeFrom="page">
                  <wp:posOffset>914400</wp:posOffset>
                </wp:positionH>
                <wp:positionV relativeFrom="paragraph">
                  <wp:posOffset>133985</wp:posOffset>
                </wp:positionV>
                <wp:extent cx="5943600" cy="0"/>
                <wp:effectExtent l="0" t="9525" r="0" b="9525"/>
                <wp:wrapNone/>
                <wp:docPr id="3" name=""/>
                <a:graphic xmlns:a="http://schemas.openxmlformats.org/drawingml/2006/main">
                  <a:graphicData uri="http://schemas.microsoft.com/office/word/2010/wordprocessingShape">
                    <wps:wsp>
                      <wps:cNvSpPr/>
                      <wps:spPr>
                        <a:xfrm>
                          <a:off x="0" y="0"/>
                          <a:ext cx="594360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72pt,10.55pt" to="539.95pt,10.55pt" stroked="t" o:allowincell="f" style="position:absolute;mso-position-horizontal-relative:page">
                <v:stroke color="black" weight="19080" joinstyle="miter" endcap="flat"/>
                <v:fill o:detectmouseclick="t" on="false"/>
                <w10:wrap type="none"/>
              </v:line>
            </w:pict>
          </mc:Fallback>
        </mc:AlternateContent>
      </w:r>
    </w:p>
    <w:p>
      <w:pPr>
        <w:pStyle w:val="Normal"/>
        <w:suppressAutoHyphens w:val="true"/>
        <w:rPr/>
      </w:pPr>
      <w:r>
        <w:rPr/>
      </w:r>
    </w:p>
    <w:p>
      <w:pPr>
        <w:pStyle w:val="Normal"/>
        <w:suppressAutoHyphens w:val="true"/>
        <w:jc w:val="both"/>
        <w:rPr/>
      </w:pPr>
      <w:r>
        <w:rPr/>
      </w:r>
    </w:p>
    <w:p>
      <w:pPr>
        <w:pStyle w:val="Normal"/>
        <w:suppressAutoHyphens w:val="true"/>
        <w:jc w:val="both"/>
        <w:rPr/>
      </w:pPr>
      <w:r>
        <w:rPr/>
        <w:tab/>
        <w:tab/>
        <w:t xml:space="preserve">Further to a conference call Friday, the following are action items to be undertaken. </w:t>
      </w:r>
    </w:p>
    <w:p>
      <w:pPr>
        <w:pStyle w:val="Normal"/>
        <w:suppressAutoHyphens w:val="true"/>
        <w:jc w:val="both"/>
        <w:rPr/>
      </w:pPr>
      <w:r>
        <w:rPr/>
      </w:r>
    </w:p>
    <w:p>
      <w:pPr>
        <w:pStyle w:val="StandardL1"/>
        <w:numPr>
          <w:ilvl w:val="0"/>
          <w:numId w:val="2"/>
        </w:numPr>
        <w:ind w:hanging="0" w:start="0"/>
        <w:rPr/>
      </w:pPr>
      <w:r>
        <w:rPr/>
        <w:t>To review telephone records to identify calls with Powerex and the Pool going back to May 1, 2000.  Bill Greenizan will be consulted to help identify critical discussions, if any, for subsequent review of relevant tapes.  (Dan Deitrich of Enron and Mark Morrison of Blakes.  Blakes will initiate).</w:t>
      </w:r>
    </w:p>
    <w:p>
      <w:pPr>
        <w:pStyle w:val="StandardL1"/>
        <w:numPr>
          <w:ilvl w:val="0"/>
          <w:numId w:val="2"/>
        </w:numPr>
        <w:ind w:hanging="0" w:start="0"/>
        <w:rPr/>
      </w:pPr>
      <w:r>
        <w:rPr/>
        <w:t>To initiate contact with Russell Lusk (counsel to Powerex) and try to identify Powerex’s current position.  (Glenn Leslie of Blakes and others as matters progress).</w:t>
      </w:r>
    </w:p>
    <w:p>
      <w:pPr>
        <w:pStyle w:val="StandardL1"/>
        <w:numPr>
          <w:ilvl w:val="0"/>
          <w:numId w:val="2"/>
        </w:numPr>
        <w:ind w:hanging="0" w:start="0"/>
        <w:rPr>
          <w:b/>
        </w:rPr>
      </w:pPr>
      <w:r>
        <w:rPr/>
        <w:t xml:space="preserve">To retain experts.  (M. Trebilko and S. Adamson to be approached by Glenn Leslie and Rob Kwinter to approach).  </w:t>
      </w:r>
      <w:r>
        <w:rPr>
          <w:b/>
        </w:rPr>
        <w:t>Note: Dan Fournier and Web Macdonald have retained Optimum Energy with the concurrence of Rob Hemstock and Rick Shapiro.</w:t>
      </w:r>
    </w:p>
    <w:p>
      <w:pPr>
        <w:pStyle w:val="StandardL1"/>
        <w:numPr>
          <w:ilvl w:val="0"/>
          <w:numId w:val="2"/>
        </w:numPr>
        <w:ind w:hanging="0" w:start="0"/>
        <w:rPr>
          <w:b/>
        </w:rPr>
      </w:pPr>
      <w:r>
        <w:rPr/>
        <w:t xml:space="preserve">To review Alberta Pool bidding process within context of Competition Act, such as role of Power Administrator and transparency of bidding process.  (Web Macdonald to lead initiative for Blakes with Aleck Dadson and Rob Hemstock of Enron).  </w:t>
      </w:r>
      <w:r>
        <w:rPr>
          <w:b/>
        </w:rPr>
        <w:t>Note: Vinson &amp; Elkins senior power regulatory lawyer Steven Engel would also be available for consulting.</w:t>
      </w:r>
    </w:p>
    <w:p>
      <w:pPr>
        <w:pStyle w:val="StandardL1"/>
        <w:numPr>
          <w:ilvl w:val="0"/>
          <w:numId w:val="2"/>
        </w:numPr>
        <w:ind w:hanging="0" w:start="0"/>
        <w:rPr/>
      </w:pPr>
      <w:r>
        <w:rPr/>
        <w:t>To pursue need of Joint Defense Agreement with John Lavorato and his counsel, Cliff O’Brien.  (Dalton McGrath and Web Macdonald to pursue and advise).</w:t>
      </w:r>
    </w:p>
    <w:p>
      <w:pPr>
        <w:pStyle w:val="StandardL1"/>
        <w:numPr>
          <w:ilvl w:val="0"/>
          <w:numId w:val="2"/>
        </w:numPr>
        <w:ind w:hanging="0" w:start="0"/>
        <w:rPr/>
      </w:pPr>
      <w:r>
        <w:rPr/>
        <w:t>To review Enron Canada By Laws to determine officers rights of indemnity and to see if John Lavorato is an indemnified party for these purposes.  (Mark Morrison of Blakes to advise).</w:t>
      </w:r>
    </w:p>
    <w:p>
      <w:pPr>
        <w:pStyle w:val="StandardL1"/>
        <w:numPr>
          <w:ilvl w:val="0"/>
          <w:numId w:val="2"/>
        </w:numPr>
        <w:ind w:hanging="0" w:start="0"/>
        <w:rPr/>
      </w:pPr>
      <w:r>
        <w:rPr/>
        <w:t>To do a bid price analysis of the Power Pool during the key trading activities.  (Rob Milnthorp of Enron to do).</w:t>
      </w:r>
    </w:p>
    <w:p>
      <w:pPr>
        <w:pStyle w:val="StandardL1"/>
        <w:numPr>
          <w:ilvl w:val="0"/>
          <w:numId w:val="2"/>
        </w:numPr>
        <w:ind w:hanging="0" w:start="0"/>
        <w:rPr/>
      </w:pPr>
      <w:r>
        <w:rPr/>
        <w:t>To review process pursuant to which non-relevant information is destroyed in keeping with Enron’s policy.  (Peter Keohane of Enron to review).</w:t>
      </w:r>
    </w:p>
    <w:p>
      <w:pPr>
        <w:pStyle w:val="StandardL1"/>
        <w:numPr>
          <w:ilvl w:val="0"/>
          <w:numId w:val="2"/>
        </w:numPr>
        <w:ind w:hanging="0" w:start="0"/>
        <w:rPr/>
      </w:pPr>
      <w:r>
        <w:rPr/>
        <w:t>To review Auction Bidding process to acquire PPAs and the implications of the investigation on the ability of Enron to acquire a PPA and to perform thereunder.  (Dan Fournier of Blakes and Peter Keohane of Enron to consider).</w:t>
      </w:r>
    </w:p>
    <w:p>
      <w:pPr>
        <w:pStyle w:val="StandardL1"/>
        <w:numPr>
          <w:ilvl w:val="0"/>
          <w:numId w:val="2"/>
        </w:numPr>
        <w:spacing w:before="0" w:after="240"/>
        <w:ind w:hanging="0" w:start="0"/>
        <w:rPr/>
      </w:pPr>
      <w:r>
        <w:rPr/>
        <w:t>To depose Portland office people at appropriate time.  (Mark Tuohey to participate).</w:t>
      </w:r>
    </w:p>
    <w:sectPr>
      <w:headerReference w:type="default" r:id="rId2"/>
      <w:headerReference w:type="first" r:id="rId3"/>
      <w:footerReference w:type="default" r:id="rId4"/>
      <w:footerReference w:type="first" r:id="rId5"/>
      <w:type w:val="nextPage"/>
      <w:pgSz w:w="12240" w:h="15840"/>
      <w:pgMar w:left="1440" w:right="1440"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CGLogo">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30315291.1</w:t>
    </w:r>
    <w:r>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30315291.1</w:t>
    </w:r>
    <w:r>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2">
              <wp:simplePos x="0" y="0"/>
              <wp:positionH relativeFrom="page">
                <wp:posOffset>6456045</wp:posOffset>
              </wp:positionH>
              <wp:positionV relativeFrom="page">
                <wp:posOffset>969645</wp:posOffset>
              </wp:positionV>
              <wp:extent cx="410845" cy="175260"/>
              <wp:effectExtent l="0" t="0" r="0" b="0"/>
              <wp:wrapSquare wrapText="bothSides"/>
              <wp:docPr id="4" name="Frame3"/>
              <a:graphic xmlns:a="http://schemas.openxmlformats.org/drawingml/2006/main">
                <a:graphicData uri="http://schemas.microsoft.com/office/word/2010/wordprocessingShape">
                  <wps:wsp>
                    <wps:cNvSpPr txBox="1"/>
                    <wps:spPr>
                      <a:xfrm>
                        <a:off x="0" y="0"/>
                        <a:ext cx="410845" cy="175260"/>
                      </a:xfrm>
                      <a:prstGeom prst="rect"/>
                      <a:solidFill>
                        <a:srgbClr val="FFFFFF">
                          <a:alpha val="0"/>
                        </a:srgbClr>
                      </a:solidFill>
                    </wps:spPr>
                    <wps:txbx>
                      <w:txbxContent>
                        <w:p>
                          <w:pPr>
                            <w:pStyle w:val="Head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32.35pt;height:13.8pt;mso-wrap-distance-left:0pt;mso-wrap-distance-right:0pt;mso-wrap-distance-top:0pt;mso-wrap-distance-bottom:0pt;margin-top:76.35pt;mso-position-vertical-relative:page;margin-left:508.35pt;mso-position-horizontal-relative:page">
              <v:fill opacity="0f"/>
              <v:textbox inset="0in,0in,0in,0in">
                <w:txbxContent>
                  <w:p>
                    <w:pPr>
                      <w:pStyle w:val="Head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440"/>
        </w:tabs>
        <w:ind w:start="1440" w:hanging="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Roman"/>
      <w:lvlText w:val="(%3)"/>
      <w:lvlJc w:val="end"/>
      <w:pPr>
        <w:tabs>
          <w:tab w:val="num" w:pos="2304"/>
        </w:tabs>
        <w:ind w:start="2304" w:hanging="432"/>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upperLetter"/>
      <w:lvlText w:val="%4."/>
      <w:lvlJc w:val="start"/>
      <w:pPr>
        <w:tabs>
          <w:tab w:val="num" w:pos="3024"/>
        </w:tabs>
        <w:ind w:start="3024" w:hanging="72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upperRoman"/>
      <w:lvlText w:val="%5."/>
      <w:lvlJc w:val="end"/>
      <w:pPr>
        <w:tabs>
          <w:tab w:val="num" w:pos="3888"/>
        </w:tabs>
        <w:ind w:start="3888" w:hanging="432"/>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end"/>
      <w:pPr>
        <w:tabs>
          <w:tab w:val="num" w:pos="4752"/>
        </w:tabs>
        <w:ind w:start="4752" w:hanging="432"/>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472"/>
        </w:tabs>
        <w:ind w:start="5472"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192"/>
        </w:tabs>
        <w:ind w:start="6192"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end"/>
      <w:pPr>
        <w:tabs>
          <w:tab w:val="num" w:pos="7056"/>
        </w:tabs>
        <w:ind w:start="7056" w:hanging="432"/>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docVars>
    <w:docVar w:name="zzmpFixedCurrentTOCScheme" w:val="Standard"/>
    <w:docVar w:name="zzmpFixedCurScheme" w:val="Standard"/>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CA" w:eastAsia="zh-CN" w:bidi="hi-IN"/>
    </w:rPr>
  </w:style>
  <w:style w:type="paragraph" w:styleId="Heading1">
    <w:name w:val="heading 1"/>
    <w:basedOn w:val="Normal"/>
    <w:next w:val="BodyText"/>
    <w:qFormat/>
    <w:pPr>
      <w:keepNext w:val="true"/>
      <w:numPr>
        <w:ilvl w:val="0"/>
        <w:numId w:val="1"/>
      </w:numPr>
      <w:spacing w:before="240" w:after="60"/>
      <w:outlineLvl w:val="0"/>
    </w:pPr>
    <w:rPr>
      <w:b/>
      <w:kern w:val="2"/>
      <w:sz w:val="28"/>
      <w:lang w:val="en-CA"/>
    </w:rPr>
  </w:style>
  <w:style w:type="paragraph" w:styleId="Heading2">
    <w:name w:val="heading 2"/>
    <w:basedOn w:val="Normal"/>
    <w:next w:val="BodyText"/>
    <w:qFormat/>
    <w:pPr>
      <w:keepNext w:val="true"/>
      <w:numPr>
        <w:ilvl w:val="1"/>
        <w:numId w:val="1"/>
      </w:numPr>
      <w:spacing w:before="240" w:after="60"/>
      <w:outlineLvl w:val="1"/>
    </w:pPr>
    <w:rPr>
      <w:b/>
      <w:i/>
      <w:lang w:val="en-CA"/>
    </w:rPr>
  </w:style>
  <w:style w:type="paragraph" w:styleId="Heading3">
    <w:name w:val="heading 3"/>
    <w:basedOn w:val="Normal"/>
    <w:next w:val="BodyText"/>
    <w:qFormat/>
    <w:pPr>
      <w:numPr>
        <w:ilvl w:val="2"/>
        <w:numId w:val="1"/>
      </w:numPr>
      <w:spacing w:before="240" w:after="60"/>
      <w:outlineLvl w:val="2"/>
    </w:pPr>
    <w:rPr>
      <w:lang w:val="en-CA"/>
    </w:rPr>
  </w:style>
  <w:style w:type="paragraph" w:styleId="Heading4">
    <w:name w:val="heading 4"/>
    <w:basedOn w:val="Normal"/>
    <w:next w:val="BodyText"/>
    <w:qFormat/>
    <w:pPr>
      <w:numPr>
        <w:ilvl w:val="3"/>
        <w:numId w:val="1"/>
      </w:numPr>
      <w:spacing w:before="240" w:after="60"/>
      <w:outlineLvl w:val="3"/>
    </w:pPr>
    <w:rPr>
      <w:b/>
      <w:lang w:val="en-CA"/>
    </w:rPr>
  </w:style>
  <w:style w:type="paragraph" w:styleId="Heading5">
    <w:name w:val="heading 5"/>
    <w:basedOn w:val="Normal"/>
    <w:next w:val="BodyText"/>
    <w:qFormat/>
    <w:pPr>
      <w:numPr>
        <w:ilvl w:val="4"/>
        <w:numId w:val="1"/>
      </w:numPr>
      <w:spacing w:before="240" w:after="60"/>
      <w:outlineLvl w:val="4"/>
    </w:pPr>
    <w:rPr>
      <w:sz w:val="22"/>
      <w:lang w:val="en-CA"/>
    </w:rPr>
  </w:style>
  <w:style w:type="paragraph" w:styleId="Heading6">
    <w:name w:val="heading 6"/>
    <w:basedOn w:val="Normal"/>
    <w:next w:val="BodyText"/>
    <w:qFormat/>
    <w:pPr>
      <w:numPr>
        <w:ilvl w:val="5"/>
        <w:numId w:val="1"/>
      </w:numPr>
      <w:spacing w:before="240" w:after="60"/>
      <w:outlineLvl w:val="5"/>
    </w:pPr>
    <w:rPr>
      <w:i/>
      <w:sz w:val="22"/>
      <w:lang w:val="en-CA"/>
    </w:rPr>
  </w:style>
  <w:style w:type="paragraph" w:styleId="Heading7">
    <w:name w:val="heading 7"/>
    <w:basedOn w:val="Normal"/>
    <w:next w:val="BodyText"/>
    <w:qFormat/>
    <w:pPr>
      <w:numPr>
        <w:ilvl w:val="6"/>
        <w:numId w:val="1"/>
      </w:numPr>
      <w:spacing w:before="240" w:after="60"/>
      <w:outlineLvl w:val="6"/>
    </w:pPr>
    <w:rPr>
      <w:lang w:val="en-CA"/>
    </w:rPr>
  </w:style>
  <w:style w:type="paragraph" w:styleId="Heading8">
    <w:name w:val="heading 8"/>
    <w:basedOn w:val="Normal"/>
    <w:next w:val="BodyText"/>
    <w:qFormat/>
    <w:pPr>
      <w:numPr>
        <w:ilvl w:val="7"/>
        <w:numId w:val="1"/>
      </w:numPr>
      <w:spacing w:before="240" w:after="60"/>
      <w:outlineLvl w:val="7"/>
    </w:pPr>
    <w:rPr>
      <w:i/>
      <w:lang w:val="en-CA"/>
    </w:rPr>
  </w:style>
  <w:style w:type="paragraph" w:styleId="Heading9">
    <w:name w:val="heading 9"/>
    <w:basedOn w:val="Normal"/>
    <w:next w:val="BodyText"/>
    <w:qFormat/>
    <w:pPr>
      <w:numPr>
        <w:ilvl w:val="8"/>
        <w:numId w:val="1"/>
      </w:numPr>
      <w:spacing w:before="240" w:after="60"/>
      <w:outlineLvl w:val="8"/>
    </w:pPr>
    <w:rPr>
      <w:b/>
      <w:i/>
      <w:sz w:val="18"/>
      <w:lang w:val="en-CA"/>
    </w:rPr>
  </w:style>
  <w:style w:type="character" w:styleId="WW8Num1z0">
    <w:name w:val="WW8Num1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zzmpTCEntryL1">
    <w:name w:val="zzmpTCEntryL1"/>
    <w:basedOn w:val="DefaultParagraphFont"/>
    <w:qFormat/>
    <w:rPr>
      <w:color w:val="0000FF"/>
    </w:rPr>
  </w:style>
  <w:style w:type="character" w:styleId="zzmpTCEntryL2">
    <w:name w:val="zzmpTCEntryL2"/>
    <w:basedOn w:val="DefaultParagraphFont"/>
    <w:qFormat/>
    <w:rPr>
      <w:color w:val="0000FF"/>
    </w:rPr>
  </w:style>
  <w:style w:type="character" w:styleId="zzmpTCEntryL3">
    <w:name w:val="zzmpTCEntryL3"/>
    <w:basedOn w:val="DefaultParagraphFont"/>
    <w:qFormat/>
    <w:rPr>
      <w:color w:val="0000FF"/>
    </w:rPr>
  </w:style>
  <w:style w:type="character" w:styleId="zzmpTCEntryL4">
    <w:name w:val="zzmpTCEntryL4"/>
    <w:basedOn w:val="DefaultParagraphFont"/>
    <w:qFormat/>
    <w:rPr>
      <w:color w:val="0000FF"/>
    </w:rPr>
  </w:style>
  <w:style w:type="character" w:styleId="zzmpTCEntryL5">
    <w:name w:val="zzmpTCEntryL5"/>
    <w:basedOn w:val="DefaultParagraphFont"/>
    <w:qFormat/>
    <w:rPr>
      <w:color w:val="0000FF"/>
    </w:rPr>
  </w:style>
  <w:style w:type="character" w:styleId="zzmpTCEntryL6">
    <w:name w:val="zzmpTCEntryL6"/>
    <w:basedOn w:val="DefaultParagraphFont"/>
    <w:qFormat/>
    <w:rPr>
      <w:color w:val="0000FF"/>
    </w:rPr>
  </w:style>
  <w:style w:type="character" w:styleId="zzmpTCEntryL7">
    <w:name w:val="zzmpTCEntryL7"/>
    <w:basedOn w:val="DefaultParagraphFont"/>
    <w:qFormat/>
    <w:rPr>
      <w:color w:val="0000FF"/>
    </w:rPr>
  </w:style>
  <w:style w:type="character" w:styleId="zzmpTCEntryL8">
    <w:name w:val="zzmpTCEntryL8"/>
    <w:basedOn w:val="DefaultParagraphFont"/>
    <w:qFormat/>
    <w:rPr>
      <w:color w:val="0000FF"/>
    </w:rPr>
  </w:style>
  <w:style w:type="character" w:styleId="zzmpTCEntryL9">
    <w:name w:val="zzmpTCEntryL9"/>
    <w:basedOn w:val="DefaultParagraphFont"/>
    <w:qFormat/>
    <w:rPr>
      <w:color w:val="0000FF"/>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pPr>
    <w:rPr>
      <w:lang w:val="en-CA"/>
    </w:rPr>
  </w:style>
  <w:style w:type="paragraph" w:styleId="List">
    <w:name w:val="List"/>
    <w:basedOn w:val="BodyText"/>
    <w:pPr/>
    <w:rPr>
      <w:rFonts w:cs="NotoSans NF"/>
    </w:rPr>
  </w:style>
  <w:style w:type="paragraph" w:styleId="Caption">
    <w:name w:val="caption"/>
    <w:basedOn w:val="BodyText"/>
    <w:next w:val="BodyText"/>
    <w:qFormat/>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lang w:val="en-CA"/>
    </w:rPr>
  </w:style>
  <w:style w:type="paragraph" w:styleId="Footer">
    <w:name w:val="footer"/>
    <w:basedOn w:val="Normal"/>
    <w:pPr/>
    <w:rPr>
      <w:sz w:val="16"/>
    </w:rPr>
  </w:style>
  <w:style w:type="paragraph" w:styleId="BlockText">
    <w:name w:val="Block Text"/>
    <w:basedOn w:val="BodyText"/>
    <w:qFormat/>
    <w:pPr>
      <w:ind w:hanging="0" w:start="1440" w:end="1440"/>
    </w:pPr>
    <w:rPr/>
  </w:style>
  <w:style w:type="paragraph" w:styleId="BodyText2">
    <w:name w:val="Body Text 2"/>
    <w:basedOn w:val="BodyText"/>
    <w:qFormat/>
    <w:pPr>
      <w:spacing w:lineRule="auto" w:line="480" w:before="0" w:after="480"/>
    </w:pPr>
    <w:rPr/>
  </w:style>
  <w:style w:type="paragraph" w:styleId="BodyText3">
    <w:name w:val="Body Text 3"/>
    <w:basedOn w:val="BodyText"/>
    <w:qFormat/>
    <w:pPr>
      <w:spacing w:before="0" w:after="160"/>
    </w:pPr>
    <w:rPr>
      <w:sz w:val="16"/>
    </w:rPr>
  </w:style>
  <w:style w:type="paragraph" w:styleId="BodyTextIndent">
    <w:name w:val="Body Text Indent"/>
    <w:basedOn w:val="BodyText"/>
    <w:pPr>
      <w:ind w:hanging="0" w:start="720" w:end="0"/>
    </w:pPr>
    <w:rPr/>
  </w:style>
  <w:style w:type="paragraph" w:styleId="BodyTextFirstIndent2">
    <w:name w:val="Body Text First Indent 2"/>
    <w:basedOn w:val="BodyText"/>
    <w:qFormat/>
    <w:pPr>
      <w:ind w:firstLine="1440" w:start="0" w:end="0"/>
    </w:pPr>
    <w:rPr/>
  </w:style>
  <w:style w:type="paragraph" w:styleId="BodyTextFirstIndent">
    <w:name w:val="Body Text First Indent"/>
    <w:basedOn w:val="BodyText"/>
    <w:qFormat/>
    <w:pPr>
      <w:ind w:firstLine="720" w:start="0" w:end="0"/>
    </w:pPr>
    <w:rPr/>
  </w:style>
  <w:style w:type="paragraph" w:styleId="BodyTextIndent2">
    <w:name w:val="Body Text Indent 2"/>
    <w:basedOn w:val="BodyText"/>
    <w:qFormat/>
    <w:pPr>
      <w:ind w:hanging="0" w:start="1440" w:end="0"/>
    </w:pPr>
    <w:rPr/>
  </w:style>
  <w:style w:type="paragraph" w:styleId="BodyTextIndent3">
    <w:name w:val="Body Text Indent 3"/>
    <w:basedOn w:val="BodyText"/>
    <w:qFormat/>
    <w:pPr>
      <w:spacing w:lineRule="auto" w:line="480" w:before="0" w:after="480"/>
      <w:ind w:hanging="0" w:start="720" w:end="0"/>
    </w:pPr>
    <w:rPr/>
  </w:style>
  <w:style w:type="paragraph" w:styleId="Closing">
    <w:name w:val="Closing"/>
    <w:basedOn w:val="Normal"/>
    <w:qFormat/>
    <w:pPr>
      <w:ind w:hanging="0" w:start="4320" w:end="0"/>
    </w:pPr>
    <w:rPr>
      <w:lang w:val="en-CA"/>
    </w:rPr>
  </w:style>
  <w:style w:type="paragraph" w:styleId="CommentText">
    <w:name w:val="Comment Text"/>
    <w:basedOn w:val="BodyText"/>
    <w:qFormat/>
    <w:pPr/>
    <w:rPr>
      <w:sz w:val="20"/>
    </w:rPr>
  </w:style>
  <w:style w:type="paragraph" w:styleId="Date">
    <w:name w:val="Date"/>
    <w:basedOn w:val="BodyText"/>
    <w:next w:val="BodyText"/>
    <w:qFormat/>
    <w:pPr/>
    <w:rPr/>
  </w:style>
  <w:style w:type="paragraph" w:styleId="NormalIndent">
    <w:name w:val="Normal Indent"/>
    <w:basedOn w:val="Normal"/>
    <w:qFormat/>
    <w:pPr>
      <w:ind w:hanging="0" w:start="720" w:end="0"/>
    </w:pPr>
    <w:rPr/>
  </w:style>
  <w:style w:type="paragraph" w:styleId="NumContinue">
    <w:name w:val="Num Continue"/>
    <w:basedOn w:val="BodyText"/>
    <w:qFormat/>
    <w:pPr>
      <w:suppressAutoHyphens w:val="true"/>
    </w:pPr>
    <w:rPr/>
  </w:style>
  <w:style w:type="paragraph" w:styleId="StandardL1">
    <w:name w:val="Standard_L1"/>
    <w:basedOn w:val="Normal"/>
    <w:next w:val="NumContinue"/>
    <w:qFormat/>
    <w:pPr>
      <w:numPr>
        <w:ilvl w:val="0"/>
        <w:numId w:val="2"/>
      </w:numPr>
      <w:spacing w:before="0" w:after="240"/>
      <w:outlineLvl w:val="0"/>
    </w:pPr>
    <w:rPr>
      <w:lang w:val="en-US"/>
    </w:rPr>
  </w:style>
  <w:style w:type="paragraph" w:styleId="StandardL2">
    <w:name w:val="Standard_L2"/>
    <w:basedOn w:val="StandardL1"/>
    <w:next w:val="NumContinue"/>
    <w:qFormat/>
    <w:pPr>
      <w:numPr>
        <w:ilvl w:val="0"/>
        <w:numId w:val="2"/>
      </w:numPr>
      <w:outlineLvl w:val="1"/>
    </w:pPr>
    <w:rPr/>
  </w:style>
  <w:style w:type="paragraph" w:styleId="StandardL3">
    <w:name w:val="Standard_L3"/>
    <w:basedOn w:val="StandardL2"/>
    <w:next w:val="NumContinue"/>
    <w:qFormat/>
    <w:pPr>
      <w:numPr>
        <w:ilvl w:val="0"/>
        <w:numId w:val="2"/>
      </w:numPr>
      <w:outlineLvl w:val="2"/>
    </w:pPr>
    <w:rPr/>
  </w:style>
  <w:style w:type="paragraph" w:styleId="StandardL4">
    <w:name w:val="Standard_L4"/>
    <w:basedOn w:val="StandardL3"/>
    <w:next w:val="NumContinue"/>
    <w:qFormat/>
    <w:pPr>
      <w:numPr>
        <w:ilvl w:val="0"/>
        <w:numId w:val="2"/>
      </w:numPr>
      <w:outlineLvl w:val="3"/>
    </w:pPr>
    <w:rPr/>
  </w:style>
  <w:style w:type="paragraph" w:styleId="StandardL5">
    <w:name w:val="Standard_L5"/>
    <w:basedOn w:val="StandardL4"/>
    <w:next w:val="NumContinue"/>
    <w:qFormat/>
    <w:pPr>
      <w:numPr>
        <w:ilvl w:val="0"/>
        <w:numId w:val="2"/>
      </w:numPr>
      <w:outlineLvl w:val="4"/>
    </w:pPr>
    <w:rPr/>
  </w:style>
  <w:style w:type="paragraph" w:styleId="StandardL6">
    <w:name w:val="Standard_L6"/>
    <w:basedOn w:val="StandardL5"/>
    <w:next w:val="NumContinue"/>
    <w:qFormat/>
    <w:pPr>
      <w:numPr>
        <w:ilvl w:val="0"/>
        <w:numId w:val="2"/>
      </w:numPr>
      <w:outlineLvl w:val="5"/>
    </w:pPr>
    <w:rPr/>
  </w:style>
  <w:style w:type="paragraph" w:styleId="StandardL7">
    <w:name w:val="Standard_L7"/>
    <w:basedOn w:val="StandardL6"/>
    <w:next w:val="NumContinue"/>
    <w:qFormat/>
    <w:pPr>
      <w:numPr>
        <w:ilvl w:val="0"/>
        <w:numId w:val="2"/>
      </w:numPr>
      <w:outlineLvl w:val="6"/>
    </w:pPr>
    <w:rPr/>
  </w:style>
  <w:style w:type="paragraph" w:styleId="StandardL8">
    <w:name w:val="Standard_L8"/>
    <w:basedOn w:val="StandardL7"/>
    <w:next w:val="NumContinue"/>
    <w:qFormat/>
    <w:pPr>
      <w:numPr>
        <w:ilvl w:val="0"/>
        <w:numId w:val="2"/>
      </w:numPr>
      <w:outlineLvl w:val="7"/>
    </w:pPr>
    <w:rPr/>
  </w:style>
  <w:style w:type="paragraph" w:styleId="StandardL9">
    <w:name w:val="Standard_L9"/>
    <w:basedOn w:val="StandardL8"/>
    <w:next w:val="NumContinue"/>
    <w:qFormat/>
    <w:pPr>
      <w:numPr>
        <w:ilvl w:val="0"/>
        <w:numId w:val="2"/>
      </w:numPr>
      <w:outlineLvl w:val="8"/>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2000-06-12T14:44:00Z</dcterms:created>
  <dc:creator>jbz</dc:creator>
  <dc:description/>
  <dc:language>en-CA</dc:language>
  <cp:lastModifiedBy>jbz</cp:lastModifiedBy>
  <cp:lastPrinted>1999-12-08T10:41:00Z</cp:lastPrinted>
  <dcterms:modified xsi:type="dcterms:W3CDTF">2000-06-12T15:12:00Z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30315291.1</vt:lpwstr>
  </property>
</Properties>
</file>