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>Enron Project Schedule (Proposed)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  <w:u w:val="single"/>
        </w:rPr>
        <w:t>Assumptions:</w:t>
      </w:r>
      <w:r>
        <w:rPr>
          <w:u w:val="single"/>
        </w:rPr>
        <w:t>:</w:t>
      </w:r>
    </w:p>
    <w:p>
      <w:pPr>
        <w:pStyle w:val="Normal"/>
        <w:numPr>
          <w:ilvl w:val="0"/>
          <w:numId w:val="2"/>
        </w:numPr>
        <w:rPr/>
      </w:pPr>
      <w:r>
        <w:rPr/>
        <w:t>Enron will transfer their option to the City sometime next week, so action to exercise it can be on the August 14</w:t>
      </w:r>
      <w:r>
        <w:rPr>
          <w:vertAlign w:val="superscript"/>
        </w:rPr>
        <w:t>th</w:t>
      </w:r>
      <w:r>
        <w:rPr/>
        <w:t xml:space="preserve"> agenda.</w:t>
      </w:r>
    </w:p>
    <w:p>
      <w:pPr>
        <w:pStyle w:val="Normal"/>
        <w:numPr>
          <w:ilvl w:val="0"/>
          <w:numId w:val="2"/>
        </w:numPr>
        <w:rPr/>
      </w:pPr>
      <w:r>
        <w:rPr/>
        <w:t>The City will close on the property sometime between the City Council's August 14</w:t>
      </w:r>
      <w:r>
        <w:rPr>
          <w:vertAlign w:val="superscript"/>
        </w:rPr>
        <w:t>th</w:t>
      </w:r>
      <w:r>
        <w:rPr/>
        <w:t xml:space="preserve"> and August 28</w:t>
      </w:r>
      <w:r>
        <w:rPr>
          <w:vertAlign w:val="superscript"/>
        </w:rPr>
        <w:t>th</w:t>
      </w:r>
      <w:r>
        <w:rPr/>
        <w:t xml:space="preserve"> meetings.</w:t>
      </w:r>
    </w:p>
    <w:p>
      <w:pPr>
        <w:pStyle w:val="Normal"/>
        <w:numPr>
          <w:ilvl w:val="0"/>
          <w:numId w:val="2"/>
        </w:numPr>
        <w:rPr/>
      </w:pPr>
      <w:r>
        <w:rPr/>
        <w:t>We will have a metes and bounds description of the property in-hand by Monday, August 21 (whether or not closing has taken place)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Timeline #1 - no adjacent property notice of any kind prior to effective annexation date</w:t>
      </w:r>
    </w:p>
    <w:p>
      <w:pPr>
        <w:pStyle w:val="Normal"/>
        <w:numPr>
          <w:ilvl w:val="0"/>
          <w:numId w:val="1"/>
        </w:numPr>
        <w:ind w:hanging="2016" w:start="2016" w:end="0"/>
        <w:rPr/>
      </w:pPr>
      <w:r>
        <w:rPr/>
        <w:t xml:space="preserve">August 22 - </w:t>
        <w:tab/>
        <w:t xml:space="preserve">staff prepares Resolution for annexation of City-owned property </w:t>
      </w:r>
    </w:p>
    <w:p>
      <w:pPr>
        <w:pStyle w:val="Normal"/>
        <w:numPr>
          <w:ilvl w:val="0"/>
          <w:numId w:val="1"/>
        </w:numPr>
        <w:ind w:hanging="2016" w:start="2016" w:end="0"/>
        <w:rPr/>
      </w:pPr>
      <w:r>
        <w:rPr/>
        <w:t xml:space="preserve">August 28 - </w:t>
        <w:tab/>
        <w:t>City Council adopts resolution and sets date of public                   hearing for September 11, 2000.</w:t>
      </w:r>
    </w:p>
    <w:p>
      <w:pPr>
        <w:pStyle w:val="Normal"/>
        <w:numPr>
          <w:ilvl w:val="0"/>
          <w:numId w:val="1"/>
        </w:numPr>
        <w:ind w:hanging="2016" w:start="2016" w:end="0"/>
        <w:rPr/>
      </w:pPr>
      <w:r>
        <w:rPr/>
        <w:t xml:space="preserve">September 11 - </w:t>
        <w:tab/>
        <w:t>annexation adopted</w:t>
      </w:r>
    </w:p>
    <w:p>
      <w:pPr>
        <w:pStyle w:val="Normal"/>
        <w:numPr>
          <w:ilvl w:val="0"/>
          <w:numId w:val="1"/>
        </w:numPr>
        <w:ind w:hanging="2016" w:start="2016" w:end="0"/>
        <w:rPr/>
      </w:pPr>
      <w:r>
        <w:rPr/>
        <w:t xml:space="preserve">September 12 - </w:t>
        <w:tab/>
        <w:t>request for tap can move forward</w:t>
      </w:r>
    </w:p>
    <w:p>
      <w:pPr>
        <w:pStyle w:val="Normal"/>
        <w:numPr>
          <w:ilvl w:val="0"/>
          <w:numId w:val="1"/>
        </w:numPr>
        <w:ind w:hanging="2016" w:start="2016" w:end="0"/>
        <w:rPr/>
      </w:pPr>
      <w:r>
        <w:rPr/>
        <w:t>September 29 - Planning staff mails notices to adjacent property owners for Planning Board meeting on October 10.  Notice will include NCNG  or CP&amp;L, whichever owns the property across the street from the subject site,</w:t>
      </w:r>
    </w:p>
    <w:p>
      <w:pPr>
        <w:pStyle w:val="Normal"/>
        <w:numPr>
          <w:ilvl w:val="0"/>
          <w:numId w:val="1"/>
        </w:numPr>
        <w:ind w:hanging="2016" w:start="2016" w:end="0"/>
        <w:rPr/>
      </w:pPr>
      <w:r>
        <w:rPr/>
        <w:t xml:space="preserve">October 10 - </w:t>
        <w:tab/>
        <w:t xml:space="preserve">Planning Board considers city recommendation for new zoning (probably I-2CU, with a site plan attached as a condition.  Site plan must meet all the special use conditions for a Utility Substation </w:t>
      </w:r>
    </w:p>
    <w:p>
      <w:pPr>
        <w:pStyle w:val="Normal"/>
        <w:numPr>
          <w:ilvl w:val="0"/>
          <w:numId w:val="1"/>
        </w:numPr>
        <w:ind w:hanging="2016" w:start="2016" w:end="0"/>
        <w:rPr/>
      </w:pPr>
      <w:r>
        <w:rPr/>
        <w:t xml:space="preserve">November 13 - City Council adopts zoning, including the conditional use.  No Board of Adjustment action is required. 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Timeline #2 - adjacent property notice for zoning hearing at Planning Board is mailed  prior to effective annexation date</w:t>
      </w:r>
    </w:p>
    <w:p>
      <w:pPr>
        <w:pStyle w:val="Normal"/>
        <w:numPr>
          <w:ilvl w:val="0"/>
          <w:numId w:val="1"/>
        </w:numPr>
        <w:ind w:hanging="2016" w:start="2016" w:end="0"/>
        <w:rPr/>
      </w:pPr>
      <w:r>
        <w:rPr/>
        <w:t xml:space="preserve">August 22 - </w:t>
        <w:tab/>
        <w:t xml:space="preserve">City Council Agenda memo - staff prepares Resolution for annexation of City-owned property </w:t>
      </w:r>
    </w:p>
    <w:p>
      <w:pPr>
        <w:pStyle w:val="Normal"/>
        <w:numPr>
          <w:ilvl w:val="0"/>
          <w:numId w:val="1"/>
        </w:numPr>
        <w:ind w:hanging="2016" w:start="2016" w:end="0"/>
        <w:rPr/>
      </w:pPr>
      <w:r>
        <w:rPr/>
        <w:t xml:space="preserve">August 28 - </w:t>
        <w:tab/>
        <w:t>City Council adopts resolution and sets date of public                   hearing for September 11, 2000.</w:t>
      </w:r>
    </w:p>
    <w:p>
      <w:pPr>
        <w:pStyle w:val="Normal"/>
        <w:numPr>
          <w:ilvl w:val="0"/>
          <w:numId w:val="1"/>
        </w:numPr>
        <w:ind w:hanging="2016" w:start="2016" w:end="0"/>
        <w:rPr/>
      </w:pPr>
      <w:r>
        <w:rPr/>
        <w:t>Sept. 1 -</w:t>
        <w:tab/>
        <w:t>Planning staff mails notices to adjacent property owners for Planning Board meeting on September 12.  Notice will include NCNG  or CP&amp;L, whichever owns the property across the street from the subject site.</w:t>
      </w:r>
    </w:p>
    <w:p>
      <w:pPr>
        <w:pStyle w:val="Normal"/>
        <w:numPr>
          <w:ilvl w:val="0"/>
          <w:numId w:val="1"/>
        </w:numPr>
        <w:ind w:hanging="2016" w:start="2016" w:end="0"/>
        <w:rPr/>
      </w:pPr>
      <w:r>
        <w:rPr/>
        <w:t xml:space="preserve">Sept. 11 - </w:t>
        <w:tab/>
        <w:t>Annexation adopted by City Council</w:t>
      </w:r>
    </w:p>
    <w:p>
      <w:pPr>
        <w:pStyle w:val="Normal"/>
        <w:numPr>
          <w:ilvl w:val="0"/>
          <w:numId w:val="1"/>
        </w:numPr>
        <w:ind w:hanging="2016" w:start="2016" w:end="0"/>
        <w:rPr/>
      </w:pPr>
      <w:r>
        <w:rPr/>
        <w:t xml:space="preserve">Sept. 12 - </w:t>
        <w:tab/>
        <w:t>Request for tap can move forward</w:t>
      </w:r>
    </w:p>
    <w:p>
      <w:pPr>
        <w:pStyle w:val="Normal"/>
        <w:numPr>
          <w:ilvl w:val="0"/>
          <w:numId w:val="1"/>
        </w:numPr>
        <w:ind w:hanging="2016" w:start="2016" w:end="0"/>
        <w:rPr/>
      </w:pPr>
      <w:r>
        <w:rPr/>
        <w:t xml:space="preserve">Sept. 12 - </w:t>
        <w:tab/>
        <w:t xml:space="preserve">Planning Board considers staff recommendation for new zoning (probably I-2CU, with a site plan attached as a condition.  Site plan must meet all the special use conditions for a Utility Substation, which are attached) </w:t>
      </w:r>
    </w:p>
    <w:p>
      <w:pPr>
        <w:pStyle w:val="Normal"/>
        <w:numPr>
          <w:ilvl w:val="0"/>
          <w:numId w:val="1"/>
        </w:numPr>
        <w:ind w:hanging="2016" w:start="2016" w:end="0"/>
        <w:rPr/>
      </w:pPr>
      <w:r>
        <w:rPr/>
        <w:t xml:space="preserve">October 9 - </w:t>
        <w:tab/>
        <w:t xml:space="preserve">City Council adopts zoning, including the conditional use.  No Board of Adjustment action is required. 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SPECIAL USE REGULATIONS FOR UTILITY STATION (NEEDS TO BE ADDRESSED IN THE SUBMISSION FOR ZONING)</w:t>
      </w:r>
    </w:p>
    <w:p>
      <w:pPr>
        <w:pStyle w:val="Normal"/>
        <w:rPr/>
      </w:pPr>
      <w:r>
        <w:rPr>
          <w:u w:val="single"/>
        </w:rPr>
        <w:t>Use</w:t>
      </w:r>
      <w:r>
        <w:rPr/>
        <w:t>--Utility Station or Substation:</w:t>
      </w:r>
    </w:p>
    <w:p>
      <w:pPr>
        <w:pStyle w:val="Normal"/>
        <w:rPr/>
      </w:pPr>
      <w:r>
        <w:rPr>
          <w:u w:val="single"/>
        </w:rPr>
        <w:t>Special use districts</w:t>
      </w:r>
      <w:r>
        <w:rPr/>
        <w:t>: Any district</w:t>
      </w:r>
    </w:p>
    <w:p>
      <w:pPr>
        <w:pStyle w:val="Normal"/>
        <w:rPr/>
      </w:pPr>
      <w:r>
        <w:rPr>
          <w:u w:val="single"/>
        </w:rPr>
        <w:t>Minimum lot area</w:t>
      </w:r>
      <w:r>
        <w:rPr/>
        <w:t>: One-half (1/2) acre for staffed utility station or substation. Unmanned, equipment-only substations must comply with applicable dimensional requirements if located in an A-1, R-15, R-10, R-8, R-6, R-6S, R10MF, or MF zone. Unmanned, equipment-only substations in PUD, MA, B-1, B-3, and IP districts are exempt from minimum lot area requirements.</w:t>
      </w:r>
    </w:p>
    <w:p>
      <w:pPr>
        <w:pStyle w:val="Normal"/>
        <w:rPr/>
      </w:pPr>
      <w:r>
        <w:rPr>
          <w:u w:val="single"/>
        </w:rPr>
        <w:t>Parking and loading</w:t>
      </w:r>
      <w:r>
        <w:rPr/>
        <w:t>: One (1) space for each regular employee employed primarily at the site at any given time.</w:t>
      </w:r>
    </w:p>
    <w:p>
      <w:pPr>
        <w:pStyle w:val="Normal"/>
        <w:rPr/>
      </w:pPr>
      <w:r>
        <w:rPr>
          <w:u w:val="single"/>
        </w:rPr>
        <w:t>Screening and fencing</w:t>
      </w:r>
      <w:r>
        <w:rPr/>
        <w:t>: A screen of not less than six (6) feet in height of dense plant material shall be provided where the lot abuts a residential lot. Electrical substations shall be enclosed by a fence not less than eight (8) feet in height with three (3) strands of barbed wire turned out at the top.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Plans are required and must show</w:t>
      </w:r>
      <w:r>
        <w:rPr/>
        <w:t>:</w:t>
      </w:r>
    </w:p>
    <w:p>
      <w:pPr>
        <w:pStyle w:val="Normal"/>
        <w:rPr/>
      </w:pPr>
      <w:r>
        <w:rPr>
          <w:u w:val="single"/>
        </w:rPr>
        <w:t>Structures</w:t>
      </w:r>
      <w:r>
        <w:rPr/>
        <w:t>: Location and approximate size of all existing and proposed structures within the site and all buildings and structures within one hundred (100) feet.</w:t>
      </w:r>
    </w:p>
    <w:p>
      <w:pPr>
        <w:pStyle w:val="Normal"/>
        <w:rPr/>
      </w:pPr>
      <w:r>
        <w:rPr>
          <w:u w:val="single"/>
        </w:rPr>
        <w:t>Circulation</w:t>
      </w:r>
      <w:r>
        <w:rPr/>
        <w:t>: Proposed points of access and egress.</w:t>
      </w:r>
    </w:p>
    <w:p>
      <w:pPr>
        <w:pStyle w:val="Normal"/>
        <w:rPr/>
      </w:pPr>
      <w:r>
        <w:rPr>
          <w:u w:val="single"/>
        </w:rPr>
        <w:t>Parking and loading</w:t>
      </w:r>
      <w:r>
        <w:rPr/>
        <w:t>: Location and arrangement of all proposed off-street parking.</w:t>
      </w:r>
    </w:p>
    <w:p>
      <w:pPr>
        <w:pStyle w:val="Normal"/>
        <w:rPr/>
      </w:pPr>
      <w:r>
        <w:rPr>
          <w:u w:val="single"/>
        </w:rPr>
        <w:t>Other details</w:t>
      </w:r>
      <w:r>
        <w:rPr/>
        <w:t>:</w:t>
      </w:r>
    </w:p>
    <w:p>
      <w:pPr>
        <w:pStyle w:val="Normal"/>
        <w:rPr/>
      </w:pPr>
      <w:r>
        <w:rPr/>
        <w:t>(1)</w:t>
        <w:tab/>
        <w:t>Proposed provisions for fencing and other protective screening at the lot lines adjacent to abutting residential property.</w:t>
      </w:r>
    </w:p>
    <w:p>
      <w:pPr>
        <w:pStyle w:val="Normal"/>
        <w:rPr/>
      </w:pPr>
      <w:r>
        <w:rPr/>
        <w:t>(Ord. No. 0-90-2, § 2, 1-8-90; Ord. No. 0-91-21, § 4, 4-8-91)</w:t>
      </w:r>
    </w:p>
    <w:sectPr>
      <w:type w:val="nextPage"/>
      <w:pgSz w:w="12240" w:h="15840"/>
      <w:pgMar w:left="1728" w:right="1440" w:gutter="0" w:header="0" w:top="1440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2000-08-07T11:23:00Z</dcterms:created>
  <dc:creator>NIXONN</dc:creator>
  <dc:description/>
  <dc:language>en-CA</dc:language>
  <cp:lastModifiedBy>NIXONN</cp:lastModifiedBy>
  <cp:lastPrinted>2000-08-07T12:23:00Z</cp:lastPrinted>
  <dcterms:modified xsi:type="dcterms:W3CDTF">2000-08-07T11:23:00Z</dcterms:modified>
  <cp:revision>2</cp:revision>
  <dc:subject/>
  <dc:title>Zoning Notes:</dc:title>
</cp:coreProperties>
</file>