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rPr>
          <w:rFonts w:ascii="GoudyOlSt BT" w:hAnsi="GoudyOlSt BT" w:cs="GoudyOlSt BT"/>
          <w:b/>
          <w:bCs/>
          <w:sz w:val="48"/>
          <w:szCs w:val="48"/>
        </w:rPr>
      </w:pPr>
      <w:r>
        <w:rPr>
          <w:rFonts w:cs="GoudyOlSt BT" w:ascii="GoudyOlSt BT" w:hAnsi="GoudyOlSt BT"/>
          <w:b/>
          <w:bCs/>
          <w:sz w:val="60"/>
          <w:szCs w:val="60"/>
        </w:rPr>
        <w:tab/>
        <w:t>MIDDLETON &amp; REUTLINGER</w:t>
      </w:r>
    </w:p>
    <w:p>
      <w:pPr>
        <w:pStyle w:val="Normal"/>
        <w:rPr>
          <w:rFonts w:ascii="GoudyOlSt BT" w:hAnsi="GoudyOlSt BT" w:cs="GoudyOlSt BT"/>
          <w:b/>
          <w:bCs/>
          <w:sz w:val="48"/>
          <w:szCs w:val="48"/>
        </w:rPr>
      </w:pPr>
      <w:r>
        <w:rPr>
          <w:rFonts w:cs="GoudyOlSt BT" w:ascii="GoudyOlSt BT" w:hAnsi="GoudyOlSt BT"/>
          <w:b/>
          <w:bCs/>
          <w:sz w:val="48"/>
          <w:szCs w:val="48"/>
        </w:rPr>
      </w:r>
    </w:p>
    <w:p>
      <w:pPr>
        <w:pStyle w:val="Normal"/>
        <w:tabs>
          <w:tab w:val="clear" w:pos="720"/>
          <w:tab w:val="center" w:pos="4680" w:leader="none"/>
        </w:tabs>
        <w:rPr>
          <w:rFonts w:ascii="GoudyOlSt BT" w:hAnsi="GoudyOlSt BT" w:cs="GoudyOlSt BT"/>
          <w:b/>
          <w:bCs/>
          <w:sz w:val="48"/>
          <w:szCs w:val="48"/>
        </w:rPr>
      </w:pPr>
      <w:r>
        <w:rPr>
          <w:rFonts w:cs="GoudyOlSt BT" w:ascii="GoudyOlSt BT" w:hAnsi="GoudyOlSt BT"/>
          <w:b/>
          <w:bCs/>
          <w:sz w:val="48"/>
          <w:szCs w:val="48"/>
        </w:rPr>
        <w:tab/>
        <w:t>2500 Brown &amp; Williamson Tower</w:t>
      </w:r>
    </w:p>
    <w:p>
      <w:pPr>
        <w:pStyle w:val="Normal"/>
        <w:tabs>
          <w:tab w:val="clear" w:pos="720"/>
          <w:tab w:val="center" w:pos="4680" w:leader="none"/>
        </w:tabs>
        <w:rPr>
          <w:rFonts w:ascii="GoudyOlSt BT" w:hAnsi="GoudyOlSt BT" w:cs="GoudyOlSt BT"/>
          <w:b/>
          <w:bCs/>
          <w:sz w:val="48"/>
          <w:szCs w:val="48"/>
        </w:rPr>
      </w:pPr>
      <w:r>
        <w:rPr>
          <w:rFonts w:cs="GoudyOlSt BT" w:ascii="GoudyOlSt BT" w:hAnsi="GoudyOlSt BT"/>
          <w:b/>
          <w:bCs/>
          <w:sz w:val="48"/>
          <w:szCs w:val="48"/>
        </w:rPr>
        <w:tab/>
        <w:t>Louisville, Kentucky 40202</w:t>
      </w:r>
    </w:p>
    <w:p>
      <w:pPr>
        <w:pStyle w:val="Normal"/>
        <w:tabs>
          <w:tab w:val="clear" w:pos="720"/>
          <w:tab w:val="center" w:pos="4680" w:leader="none"/>
        </w:tabs>
        <w:rPr>
          <w:rFonts w:ascii="GoudyOlSt BT" w:hAnsi="GoudyOlSt BT" w:cs="GoudyOlSt BT"/>
          <w:b/>
          <w:bCs/>
          <w:sz w:val="48"/>
          <w:szCs w:val="48"/>
        </w:rPr>
      </w:pPr>
      <w:r>
        <w:rPr>
          <w:rFonts w:cs="GoudyOlSt BT" w:ascii="GoudyOlSt BT" w:hAnsi="GoudyOlSt BT"/>
          <w:b/>
          <w:bCs/>
          <w:sz w:val="48"/>
          <w:szCs w:val="48"/>
        </w:rPr>
        <w:tab/>
        <w:t>Telephone 502-584-1135</w:t>
      </w:r>
    </w:p>
    <w:p>
      <w:pPr>
        <w:pStyle w:val="Normal"/>
        <w:tabs>
          <w:tab w:val="clear" w:pos="720"/>
          <w:tab w:val="center" w:pos="4680" w:leader="none"/>
        </w:tabs>
        <w:rPr>
          <w:rFonts w:ascii="GoudyOlSt BT" w:hAnsi="GoudyOlSt BT" w:cs="GoudyOlSt BT"/>
          <w:b/>
          <w:bCs/>
          <w:sz w:val="48"/>
          <w:szCs w:val="48"/>
        </w:rPr>
      </w:pPr>
      <w:r>
        <w:rPr>
          <w:rFonts w:cs="GoudyOlSt BT" w:ascii="GoudyOlSt BT" w:hAnsi="GoudyOlSt BT"/>
          <w:b/>
          <w:bCs/>
          <w:sz w:val="48"/>
          <w:szCs w:val="48"/>
        </w:rPr>
        <w:tab/>
        <w:t>FAX 502-561-0442</w:t>
      </w:r>
    </w:p>
    <w:p>
      <w:pPr>
        <w:pStyle w:val="Normal"/>
        <w:rPr>
          <w:rFonts w:ascii="GoudyOlSt BT" w:hAnsi="GoudyOlSt BT" w:cs="GoudyOlSt BT"/>
          <w:b/>
          <w:bCs/>
          <w:sz w:val="24"/>
          <w:szCs w:val="48"/>
        </w:rPr>
      </w:pPr>
      <w:r>
        <w:rPr>
          <w:rFonts w:cs="GoudyOlSt BT" w:ascii="GoudyOlSt BT" w:hAnsi="GoudyOlSt BT"/>
          <w:b/>
          <w:bCs/>
          <w:sz w:val="24"/>
          <w:szCs w:val="48"/>
        </w:rPr>
      </w:r>
    </w:p>
    <w:p>
      <w:pPr>
        <w:pStyle w:val="Normal"/>
        <w:rPr>
          <w:rFonts w:ascii="GoudyOlSt BT" w:hAnsi="GoudyOlSt BT" w:cs="GoudyOlSt BT"/>
          <w:b/>
          <w:bCs/>
          <w:sz w:val="24"/>
        </w:rPr>
      </w:pPr>
      <w:r>
        <w:rPr>
          <w:rFonts w:cs="GoudyOlSt BT" w:ascii="GoudyOlSt BT" w:hAnsi="GoudyOlSt BT"/>
          <w:b/>
          <w:bCs/>
          <w:sz w:val="24"/>
        </w:rPr>
      </w:r>
    </w:p>
    <w:p>
      <w:pPr>
        <w:pStyle w:val="Normal"/>
        <w:rPr>
          <w:rFonts w:ascii="GoudyOlSt BT" w:hAnsi="GoudyOlSt BT" w:cs="GoudyOlSt BT"/>
          <w:b/>
          <w:bCs/>
          <w:sz w:val="24"/>
        </w:rPr>
      </w:pPr>
      <w:r>
        <w:rPr>
          <w:rFonts w:cs="GoudyOlSt BT" w:ascii="GoudyOlSt BT" w:hAnsi="GoudyOlSt BT"/>
          <w:b/>
          <w:bCs/>
          <w:sz w:val="24"/>
        </w:rPr>
      </w:r>
    </w:p>
    <w:p>
      <w:pPr>
        <w:pStyle w:val="Normal"/>
        <w:rPr/>
      </w:pPr>
      <w:r>
        <w:rPr>
          <w:rFonts w:cs="GoudyOlSt BT" w:ascii="GoudyOlSt BT" w:hAnsi="GoudyOlSt BT"/>
          <w:b/>
          <w:bCs/>
          <w:sz w:val="24"/>
        </w:rPr>
        <w:t>To:</w:t>
      </w:r>
      <w:r>
        <w:rPr>
          <w:rFonts w:cs="GoudyOlSt BT" w:ascii="GoudyOlSt BT" w:hAnsi="GoudyOlSt BT"/>
          <w:sz w:val="24"/>
        </w:rPr>
        <w:tab/>
        <w:tab/>
        <w:t>Stuart Zisman, Esq.</w:t>
      </w:r>
    </w:p>
    <w:p>
      <w:pPr>
        <w:pStyle w:val="Normal"/>
        <w:rPr>
          <w:rFonts w:ascii="GoudyOlSt BT" w:hAnsi="GoudyOlSt BT" w:cs="GoudyOlSt BT"/>
          <w:sz w:val="24"/>
        </w:rPr>
      </w:pPr>
      <w:r>
        <w:rPr>
          <w:rFonts w:cs="GoudyOlSt BT" w:ascii="GoudyOlSt BT" w:hAnsi="GoudyOlSt BT"/>
          <w:sz w:val="24"/>
        </w:rPr>
      </w:r>
    </w:p>
    <w:p>
      <w:pPr>
        <w:pStyle w:val="Normal"/>
        <w:rPr/>
      </w:pPr>
      <w:r>
        <w:rPr>
          <w:rFonts w:cs="GoudyOlSt BT" w:ascii="GoudyOlSt BT" w:hAnsi="GoudyOlSt BT"/>
          <w:b/>
          <w:bCs/>
          <w:sz w:val="24"/>
        </w:rPr>
        <w:t>From:</w:t>
      </w:r>
      <w:r>
        <w:rPr>
          <w:rFonts w:cs="GoudyOlSt BT" w:ascii="GoudyOlSt BT" w:hAnsi="GoudyOlSt BT"/>
          <w:sz w:val="24"/>
        </w:rPr>
        <w:tab/>
        <w:tab/>
        <w:t>James N. Williams</w:t>
      </w:r>
    </w:p>
    <w:p>
      <w:pPr>
        <w:pStyle w:val="Normal"/>
        <w:rPr>
          <w:rFonts w:ascii="GoudyOlSt BT" w:hAnsi="GoudyOlSt BT" w:cs="GoudyOlSt BT"/>
          <w:sz w:val="24"/>
        </w:rPr>
      </w:pPr>
      <w:r>
        <w:rPr>
          <w:rFonts w:cs="GoudyOlSt BT" w:ascii="GoudyOlSt BT" w:hAnsi="GoudyOlSt BT"/>
          <w:sz w:val="24"/>
        </w:rPr>
      </w:r>
    </w:p>
    <w:p>
      <w:pPr>
        <w:pStyle w:val="Normal"/>
        <w:rPr>
          <w:rFonts w:ascii="GoudyOlSt BT" w:hAnsi="GoudyOlSt BT" w:cs="GoudyOlSt BT"/>
          <w:sz w:val="24"/>
        </w:rPr>
      </w:pPr>
      <w:r>
        <w:rPr>
          <w:rFonts w:cs="GoudyOlSt BT" w:ascii="GoudyOlSt BT" w:hAnsi="GoudyOlSt BT"/>
          <w:b/>
          <w:bCs/>
          <w:sz w:val="24"/>
        </w:rPr>
        <w:t>Date:</w:t>
      </w:r>
      <w:r>
        <w:rPr>
          <w:rFonts w:cs="GoudyOlSt BT" w:ascii="GoudyOlSt BT" w:hAnsi="GoudyOlSt BT"/>
          <w:sz w:val="24"/>
        </w:rPr>
        <w:tab/>
        <w:tab/>
      </w:r>
      <w:r>
        <w:rPr>
          <w:rFonts w:cs="GoudyOlSt BT" w:ascii="GoudyOlSt BT" w:hAnsi="GoudyOlSt BT"/>
          <w:sz w:val="24"/>
        </w:rPr>
        <w:fldChar w:fldCharType="begin"/>
      </w:r>
      <w:r>
        <w:rPr>
          <w:sz w:val="24"/>
          <w:rFonts w:cs="GoudyOlSt BT" w:ascii="GoudyOlSt BT" w:hAnsi="GoudyOlSt BT"/>
        </w:rPr>
        <w:instrText xml:space="preserve"> DATE \@"MMMM\ d', 'yyyy" </w:instrText>
      </w:r>
      <w:r>
        <w:rPr>
          <w:sz w:val="24"/>
          <w:rFonts w:cs="GoudyOlSt BT" w:ascii="GoudyOlSt BT" w:hAnsi="GoudyOlSt BT"/>
        </w:rPr>
        <w:fldChar w:fldCharType="separate"/>
      </w:r>
      <w:r>
        <w:rPr>
          <w:sz w:val="24"/>
          <w:rFonts w:cs="GoudyOlSt BT" w:ascii="GoudyOlSt BT" w:hAnsi="GoudyOlSt BT"/>
        </w:rPr>
        <w:t>September 28, 2025</w:t>
      </w:r>
      <w:r>
        <w:rPr>
          <w:sz w:val="24"/>
          <w:rFonts w:cs="GoudyOlSt BT" w:ascii="GoudyOlSt BT" w:hAnsi="GoudyOlSt BT"/>
        </w:rPr>
        <w:fldChar w:fldCharType="end"/>
      </w:r>
    </w:p>
    <w:p>
      <w:pPr>
        <w:pStyle w:val="Normal"/>
        <w:rPr>
          <w:rFonts w:ascii="GoudyOlSt BT" w:hAnsi="GoudyOlSt BT" w:cs="GoudyOlSt BT"/>
          <w:sz w:val="24"/>
        </w:rPr>
      </w:pPr>
      <w:r>
        <w:rPr>
          <w:rFonts w:cs="GoudyOlSt BT" w:ascii="GoudyOlSt BT" w:hAnsi="GoudyOlSt BT"/>
          <w:sz w:val="24"/>
        </w:rPr>
      </w:r>
    </w:p>
    <w:p>
      <w:pPr>
        <w:pStyle w:val="Normal"/>
        <w:rPr/>
      </w:pPr>
      <w:r>
        <w:rPr>
          <w:rFonts w:cs="GoudyOlSt BT" w:ascii="GoudyOlSt BT" w:hAnsi="GoudyOlSt BT"/>
          <w:b/>
          <w:bCs/>
          <w:sz w:val="24"/>
        </w:rPr>
        <w:t>Re:</w:t>
      </w:r>
      <w:r>
        <w:rPr>
          <w:rFonts w:cs="GoudyOlSt BT" w:ascii="GoudyOlSt BT" w:hAnsi="GoudyOlSt BT"/>
          <w:sz w:val="24"/>
        </w:rPr>
        <w:tab/>
        <w:tab/>
        <w:t>Tax Abatement</w:t>
      </w:r>
    </w:p>
    <w:p>
      <w:pPr>
        <w:pStyle w:val="Normal"/>
        <w:spacing w:lineRule="auto" w:line="480"/>
        <w:rPr>
          <w:rFonts w:ascii="GoudyOlSt BT" w:hAnsi="GoudyOlSt BT" w:cs="GoudyOlSt BT"/>
          <w:sz w:val="24"/>
        </w:rPr>
      </w:pPr>
      <w:r>
        <w:rPr>
          <w:rFonts w:cs="GoudyOlSt BT" w:ascii="GoudyOlSt BT" w:hAnsi="GoudyOlSt BT"/>
          <w:sz w:val="24"/>
        </w:rPr>
      </w:r>
    </w:p>
    <w:p>
      <w:pPr>
        <w:pStyle w:val="Normal"/>
        <w:spacing w:lineRule="auto" w:line="480"/>
        <w:ind w:firstLine="720" w:end="0"/>
        <w:rPr/>
      </w:pPr>
      <w:r>
        <w:rPr>
          <w:rFonts w:cs="GoudyOlSt BT" w:ascii="GoudyOlSt BT" w:hAnsi="GoudyOlSt BT"/>
          <w:sz w:val="24"/>
        </w:rPr>
        <w:t xml:space="preserve">Stuart, you have asked if tax abatement would be affected if Enron or its successor fell below the nine employee-level that we represented would be at the facility.  It is possible that tax abatement could be </w:t>
      </w:r>
      <w:r>
        <w:rPr>
          <w:rFonts w:cs="GoudyOlSt BT" w:ascii="GoudyOlSt BT" w:hAnsi="GoudyOlSt BT"/>
          <w:sz w:val="24"/>
          <w:u w:val="double"/>
        </w:rPr>
        <w:t>withdrawn</w:t>
      </w:r>
      <w:r>
        <w:rPr>
          <w:rFonts w:cs="GoudyOlSt BT" w:ascii="GoudyOlSt BT" w:hAnsi="GoudyOlSt BT"/>
          <w:sz w:val="24"/>
        </w:rPr>
        <w:t xml:space="preserve">, but that would require action by the County Council in Knox County.  It is not automatic.  The relevant statute is IC 6-1.1-12.1-5.9 (the entire section of the Indiana Code dealing with tax abatement can be viewed at </w:t>
      </w:r>
      <w:r>
        <w:rPr>
          <w:rFonts w:cs="GoudyOlSt BT" w:ascii="GoudyOlSt BT" w:hAnsi="GoudyOlSt BT"/>
          <w:b/>
          <w:bCs/>
          <w:sz w:val="24"/>
        </w:rPr>
        <w:t>www.state.in.us/legislative/ic/code</w:t>
      </w:r>
      <w:r>
        <w:rPr>
          <w:rFonts w:cs="GoudyOlSt BT" w:ascii="GoudyOlSt BT" w:hAnsi="GoudyOlSt BT"/>
          <w:sz w:val="24"/>
        </w:rPr>
        <w:t>):</w:t>
      </w:r>
    </w:p>
    <w:p>
      <w:pPr>
        <w:pStyle w:val="Normal"/>
        <w:rPr>
          <w:rFonts w:ascii="GoudyOlSt BT" w:hAnsi="GoudyOlSt BT" w:cs="GoudyOlSt BT"/>
          <w:sz w:val="24"/>
        </w:rPr>
      </w:pPr>
      <w:r>
        <w:rPr>
          <w:rFonts w:cs="GoudyOlSt BT" w:ascii="GoudyOlSt BT" w:hAnsi="GoudyOlSt BT"/>
          <w:sz w:val="24"/>
        </w:rPr>
      </w:r>
    </w:p>
    <w:p>
      <w:pPr>
        <w:pStyle w:val="Normal"/>
        <w:ind w:start="720" w:end="720"/>
        <w:rPr>
          <w:rFonts w:ascii="GoudyOlSt BT" w:hAnsi="GoudyOlSt BT" w:cs="GoudyOlSt BT"/>
          <w:sz w:val="24"/>
        </w:rPr>
      </w:pPr>
      <w:r>
        <w:rPr>
          <w:rFonts w:eastAsia="GoudyOlSt BT" w:cs="GoudyOlSt BT" w:ascii="GoudyOlSt BT" w:hAnsi="GoudyOlSt BT"/>
          <w:sz w:val="24"/>
        </w:rPr>
        <w:t xml:space="preserve">    </w:t>
      </w:r>
      <w:r>
        <w:rPr>
          <w:rFonts w:cs="GoudyOlSt BT" w:ascii="GoudyOlSt BT" w:hAnsi="GoudyOlSt BT"/>
          <w:sz w:val="24"/>
        </w:rPr>
        <w:t>Sec. 5.9. (a) This section does not apply to:</w:t>
      </w:r>
    </w:p>
    <w:p>
      <w:pPr>
        <w:pStyle w:val="Normal"/>
        <w:rPr>
          <w:rFonts w:ascii="GoudyOlSt BT" w:hAnsi="GoudyOlSt BT" w:cs="GoudyOlSt BT"/>
          <w:sz w:val="24"/>
        </w:rPr>
      </w:pPr>
      <w:r>
        <w:rPr>
          <w:rFonts w:cs="GoudyOlSt BT" w:ascii="GoudyOlSt BT" w:hAnsi="GoudyOlSt BT"/>
          <w:sz w:val="24"/>
        </w:rPr>
      </w:r>
    </w:p>
    <w:p>
      <w:pPr>
        <w:pStyle w:val="Normal"/>
        <w:ind w:start="1440" w:end="720"/>
        <w:rPr>
          <w:rFonts w:ascii="GoudyOlSt BT" w:hAnsi="GoudyOlSt BT" w:cs="GoudyOlSt BT"/>
          <w:sz w:val="24"/>
        </w:rPr>
      </w:pPr>
      <w:r>
        <w:rPr>
          <w:rFonts w:cs="GoudyOlSt BT" w:ascii="GoudyOlSt BT" w:hAnsi="GoudyOlSt BT"/>
          <w:sz w:val="24"/>
        </w:rPr>
        <w:t>(1) a deduction under section 3 of this chapter for property located in a residentially distressed area; or</w:t>
      </w:r>
    </w:p>
    <w:p>
      <w:pPr>
        <w:pStyle w:val="Normal"/>
        <w:rPr>
          <w:rFonts w:ascii="GoudyOlSt BT" w:hAnsi="GoudyOlSt BT" w:cs="GoudyOlSt BT"/>
          <w:sz w:val="24"/>
        </w:rPr>
      </w:pPr>
      <w:r>
        <w:rPr>
          <w:rFonts w:cs="GoudyOlSt BT" w:ascii="GoudyOlSt BT" w:hAnsi="GoudyOlSt BT"/>
          <w:sz w:val="24"/>
        </w:rPr>
      </w:r>
    </w:p>
    <w:p>
      <w:pPr>
        <w:pStyle w:val="Normal"/>
        <w:ind w:start="1440" w:end="720"/>
        <w:rPr>
          <w:rFonts w:ascii="GoudyOlSt BT" w:hAnsi="GoudyOlSt BT" w:cs="GoudyOlSt BT"/>
          <w:sz w:val="24"/>
        </w:rPr>
      </w:pPr>
      <w:r>
        <w:rPr>
          <w:rFonts w:cs="GoudyOlSt BT" w:ascii="GoudyOlSt BT" w:hAnsi="GoudyOlSt BT"/>
          <w:sz w:val="24"/>
        </w:rPr>
        <w:t>(2) any other deduction under section 3 or 4.5 of this chapter for which a statement of benefits was approved before July1, 1991.</w:t>
      </w:r>
    </w:p>
    <w:p>
      <w:pPr>
        <w:pStyle w:val="Normal"/>
        <w:rPr>
          <w:rFonts w:ascii="GoudyOlSt BT" w:hAnsi="GoudyOlSt BT" w:cs="GoudyOlSt BT"/>
          <w:sz w:val="24"/>
        </w:rPr>
      </w:pPr>
      <w:r>
        <w:rPr>
          <w:rFonts w:cs="GoudyOlSt BT" w:ascii="GoudyOlSt BT" w:hAnsi="GoudyOlSt BT"/>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ind w:firstLine="720" w:start="720" w:end="720"/>
        <w:rPr/>
      </w:pPr>
      <w:r>
        <w:rPr>
          <w:rFonts w:cs="GoudyOlSt BT" w:ascii="GoudyOlSt BT" w:hAnsi="GoudyOlSt BT"/>
          <w:sz w:val="24"/>
        </w:rPr>
        <w:t>(b) Within forty</w:t>
        <w:noBreakHyphen/>
        <w:t xml:space="preserve">five (45) days after receipt of the information described in section 5.1 or 5.6 of this chapter, the designating body may determine whether the property owner has substantially complied with the statement of benefits approved under section 3 or 4.5 of this chapter. </w:t>
      </w:r>
      <w:r>
        <w:rPr>
          <w:rFonts w:cs="GoudyOlSt BT" w:ascii="GoudyOlSt BT" w:hAnsi="GoudyOlSt BT"/>
          <w:sz w:val="24"/>
          <w:u w:val="double"/>
        </w:rPr>
        <w:t xml:space="preserve">If the designating body determines that the property owner has not substantially complied with the statement of benefits </w:t>
      </w:r>
      <w:r>
        <w:rPr>
          <w:rFonts w:cs="GoudyOlSt BT" w:ascii="GoudyOlSt BT" w:hAnsi="GoudyOlSt BT"/>
          <w:b/>
          <w:bCs/>
          <w:sz w:val="24"/>
          <w:u w:val="double"/>
        </w:rPr>
        <w:t>and that the failure to substantially comply was not caused by factors beyond the control of the property owner</w:t>
      </w:r>
      <w:r>
        <w:rPr>
          <w:rFonts w:cs="GoudyOlSt BT" w:ascii="GoudyOlSt BT" w:hAnsi="GoudyOlSt BT"/>
          <w:sz w:val="24"/>
          <w:u w:val="double"/>
        </w:rPr>
        <w:t xml:space="preserve"> (such as declines in demand for the property owner's products or services)</w:t>
      </w:r>
      <w:r>
        <w:rPr>
          <w:rFonts w:cs="GoudyOlSt BT" w:ascii="GoudyOlSt BT" w:hAnsi="GoudyOlSt BT"/>
          <w:sz w:val="24"/>
        </w:rPr>
        <w:t>, the designating body shall mail a written notice to the property owner. The written notice must include the following provisions:</w:t>
      </w:r>
    </w:p>
    <w:p>
      <w:pPr>
        <w:pStyle w:val="Normal"/>
        <w:rPr>
          <w:rFonts w:ascii="GoudyOlSt BT" w:hAnsi="GoudyOlSt BT" w:cs="GoudyOlSt BT"/>
          <w:sz w:val="24"/>
        </w:rPr>
      </w:pPr>
      <w:r>
        <w:rPr>
          <w:rFonts w:cs="GoudyOlSt BT" w:ascii="GoudyOlSt BT" w:hAnsi="GoudyOlSt BT"/>
          <w:sz w:val="24"/>
        </w:rPr>
      </w:r>
    </w:p>
    <w:p>
      <w:pPr>
        <w:pStyle w:val="Normal"/>
        <w:ind w:start="1440" w:end="720"/>
        <w:rPr>
          <w:rFonts w:ascii="GoudyOlSt BT" w:hAnsi="GoudyOlSt BT" w:cs="GoudyOlSt BT"/>
          <w:sz w:val="24"/>
        </w:rPr>
      </w:pPr>
      <w:r>
        <w:rPr>
          <w:rFonts w:cs="GoudyOlSt BT" w:ascii="GoudyOlSt BT" w:hAnsi="GoudyOlSt BT"/>
          <w:sz w:val="24"/>
        </w:rPr>
        <w:t>(1) An explanation of the reasons for the designating body's determination.</w:t>
      </w:r>
    </w:p>
    <w:p>
      <w:pPr>
        <w:pStyle w:val="Normal"/>
        <w:rPr>
          <w:rFonts w:ascii="GoudyOlSt BT" w:hAnsi="GoudyOlSt BT" w:cs="GoudyOlSt BT"/>
          <w:sz w:val="24"/>
        </w:rPr>
      </w:pPr>
      <w:r>
        <w:rPr>
          <w:rFonts w:cs="GoudyOlSt BT" w:ascii="GoudyOlSt BT" w:hAnsi="GoudyOlSt BT"/>
          <w:sz w:val="24"/>
        </w:rPr>
      </w:r>
    </w:p>
    <w:p>
      <w:pPr>
        <w:pStyle w:val="Normal"/>
        <w:ind w:start="1440" w:end="720"/>
        <w:rPr>
          <w:rFonts w:ascii="GoudyOlSt BT" w:hAnsi="GoudyOlSt BT" w:cs="GoudyOlSt BT"/>
          <w:sz w:val="24"/>
        </w:rPr>
      </w:pPr>
      <w:r>
        <w:rPr>
          <w:rFonts w:cs="GoudyOlSt BT" w:ascii="GoudyOlSt BT" w:hAnsi="GoudyOlSt BT"/>
          <w:sz w:val="24"/>
        </w:rPr>
        <w:t>(2) The date, time, and place of a hearing to be conducted by the designating body for the purpose of further considering the property owner's compliance with the statement of benefits. The date of the hearing may not be more than thirty (30) days after the date on which the notice is mailed.  If a notice mailed to a property owner concerns a statement of benefits approved under section 4.5 of this chapter, the designating body shall also mail a copy of the notice to the state board of tax commissioners.</w:t>
      </w:r>
    </w:p>
    <w:p>
      <w:pPr>
        <w:pStyle w:val="Normal"/>
        <w:rPr>
          <w:rFonts w:ascii="GoudyOlSt BT" w:hAnsi="GoudyOlSt BT" w:cs="GoudyOlSt BT"/>
          <w:sz w:val="24"/>
        </w:rPr>
      </w:pPr>
      <w:r>
        <w:rPr>
          <w:rFonts w:cs="GoudyOlSt BT" w:ascii="GoudyOlSt BT" w:hAnsi="GoudyOlSt BT"/>
          <w:sz w:val="24"/>
        </w:rPr>
      </w:r>
    </w:p>
    <w:p>
      <w:pPr>
        <w:pStyle w:val="Normal"/>
        <w:ind w:firstLine="720" w:start="720" w:end="720"/>
        <w:rPr/>
      </w:pPr>
      <w:r>
        <w:rPr>
          <w:rFonts w:cs="GoudyOlSt BT" w:ascii="GoudyOlSt BT" w:hAnsi="GoudyOlSt BT"/>
          <w:sz w:val="24"/>
        </w:rPr>
        <w:t>(c) On the date specified in the notice described in subsection (b)(2), the designating body shall conduct a hearing for the purpose of further considering the property owner's compliance with the statement of benefits. Based on the information presented at the hearing by the property owner and other interested parties, the designating body shall again determine whether the property owner has made reasonable efforts to substantially comply with the statement of benefits and whether any failure to substantially comply was caused by factors beyond the control of the property owner.</w:t>
      </w:r>
      <w:r>
        <w:rPr>
          <w:rFonts w:cs="GoudyOlSt BT" w:ascii="GoudyOlSt BT" w:hAnsi="GoudyOlSt BT"/>
          <w:b/>
          <w:bCs/>
          <w:sz w:val="24"/>
          <w:u w:val="double"/>
        </w:rPr>
        <w:t xml:space="preserve"> If the designating body determines that the property owner has not made reasonable efforts to comply with the statement of benefits</w:t>
      </w:r>
      <w:r>
        <w:rPr>
          <w:rFonts w:cs="GoudyOlSt BT" w:ascii="GoudyOlSt BT" w:hAnsi="GoudyOlSt BT"/>
          <w:sz w:val="24"/>
        </w:rPr>
        <w:t>, the designating body shall adopt a resolution terminating the property owner's deduction under section 3 or 4.5 of this chapter. If the designating body adopts such a resolution, the deduction does not apply to the next installment of property taxes owed by the property owner or to any subsequent installment of property taxes.</w:t>
      </w:r>
    </w:p>
    <w:p>
      <w:pPr>
        <w:pStyle w:val="Normal"/>
        <w:rPr>
          <w:rFonts w:ascii="GoudyOlSt BT" w:hAnsi="GoudyOlSt BT" w:cs="GoudyOlSt BT"/>
          <w:sz w:val="24"/>
        </w:rPr>
      </w:pPr>
      <w:r>
        <w:rPr>
          <w:rFonts w:cs="GoudyOlSt BT" w:ascii="GoudyOlSt BT" w:hAnsi="GoudyOlSt BT"/>
          <w:sz w:val="24"/>
        </w:rPr>
      </w:r>
    </w:p>
    <w:p>
      <w:pPr>
        <w:pStyle w:val="Normal"/>
        <w:ind w:firstLine="720" w:start="720" w:end="720"/>
        <w:rPr>
          <w:rFonts w:ascii="GoudyOlSt BT" w:hAnsi="GoudyOlSt BT" w:cs="GoudyOlSt BT"/>
          <w:sz w:val="24"/>
        </w:rPr>
      </w:pPr>
      <w:r>
        <w:rPr>
          <w:rFonts w:cs="GoudyOlSt BT" w:ascii="GoudyOlSt BT" w:hAnsi="GoudyOlSt BT"/>
          <w:sz w:val="24"/>
        </w:rPr>
        <w:t xml:space="preserve">(d) If the designating body adopts a resolution terminating a deduction under subsection (c), the designating body shall immediately mail a certified copy of the resolution to: </w:t>
      </w:r>
    </w:p>
    <w:p>
      <w:pPr>
        <w:pStyle w:val="Normal"/>
        <w:rPr>
          <w:rFonts w:ascii="GoudyOlSt BT" w:hAnsi="GoudyOlSt BT" w:cs="GoudyOlSt BT"/>
          <w:sz w:val="24"/>
        </w:rPr>
      </w:pPr>
      <w:r>
        <w:rPr>
          <w:rFonts w:cs="GoudyOlSt BT" w:ascii="GoudyOlSt BT" w:hAnsi="GoudyOlSt BT"/>
          <w:sz w:val="24"/>
        </w:rPr>
      </w:r>
    </w:p>
    <w:p>
      <w:pPr>
        <w:pStyle w:val="Normal"/>
        <w:ind w:start="2160" w:end="720"/>
        <w:rPr>
          <w:rFonts w:ascii="GoudyOlSt BT" w:hAnsi="GoudyOlSt BT" w:cs="GoudyOlSt BT"/>
          <w:sz w:val="24"/>
        </w:rPr>
      </w:pPr>
      <w:r>
        <w:rPr>
          <w:rFonts w:cs="GoudyOlSt BT" w:ascii="GoudyOlSt BT" w:hAnsi="GoudyOlSt BT"/>
          <w:sz w:val="24"/>
        </w:rPr>
        <w:t>(1) the property owner;</w:t>
      </w:r>
    </w:p>
    <w:p>
      <w:pPr>
        <w:pStyle w:val="Normal"/>
        <w:rPr>
          <w:rFonts w:ascii="GoudyOlSt BT" w:hAnsi="GoudyOlSt BT" w:cs="GoudyOlSt BT"/>
          <w:sz w:val="24"/>
        </w:rPr>
      </w:pPr>
      <w:r>
        <w:rPr>
          <w:rFonts w:cs="GoudyOlSt BT" w:ascii="GoudyOlSt BT" w:hAnsi="GoudyOlSt BT"/>
          <w:sz w:val="24"/>
        </w:rPr>
      </w:r>
    </w:p>
    <w:p>
      <w:pPr>
        <w:pStyle w:val="Normal"/>
        <w:ind w:start="2160" w:end="720"/>
        <w:rPr>
          <w:rFonts w:ascii="GoudyOlSt BT" w:hAnsi="GoudyOlSt BT" w:cs="GoudyOlSt BT"/>
          <w:sz w:val="24"/>
        </w:rPr>
      </w:pPr>
      <w:r>
        <w:rPr>
          <w:rFonts w:cs="GoudyOlSt BT" w:ascii="GoudyOlSt BT" w:hAnsi="GoudyOlSt BT"/>
          <w:sz w:val="24"/>
        </w:rPr>
        <w:t>(2) the county auditor; and</w:t>
      </w:r>
    </w:p>
    <w:p>
      <w:pPr>
        <w:pStyle w:val="Normal"/>
        <w:rPr>
          <w:rFonts w:ascii="GoudyOlSt BT" w:hAnsi="GoudyOlSt BT" w:cs="GoudyOlSt BT"/>
          <w:sz w:val="24"/>
        </w:rPr>
      </w:pPr>
      <w:r>
        <w:rPr>
          <w:rFonts w:cs="GoudyOlSt BT" w:ascii="GoudyOlSt BT" w:hAnsi="GoudyOlSt BT"/>
          <w:sz w:val="24"/>
        </w:rPr>
      </w:r>
    </w:p>
    <w:p>
      <w:pPr>
        <w:pStyle w:val="Normal"/>
        <w:ind w:start="2160" w:end="720"/>
        <w:rPr>
          <w:rFonts w:ascii="GoudyOlSt BT" w:hAnsi="GoudyOlSt BT" w:cs="GoudyOlSt BT"/>
          <w:sz w:val="24"/>
        </w:rPr>
      </w:pPr>
      <w:r>
        <w:rPr>
          <w:rFonts w:cs="GoudyOlSt BT" w:ascii="GoudyOlSt BT" w:hAnsi="GoudyOlSt BT"/>
          <w:sz w:val="24"/>
        </w:rPr>
        <w:t>(3) the state board of tax commissioners if the deduction was granted under section 4.5 of this chapter.</w:t>
      </w:r>
    </w:p>
    <w:p>
      <w:pPr>
        <w:pStyle w:val="Normal"/>
        <w:rPr>
          <w:rFonts w:ascii="GoudyOlSt BT" w:hAnsi="GoudyOlSt BT" w:cs="GoudyOlSt BT"/>
          <w:sz w:val="24"/>
        </w:rPr>
      </w:pPr>
      <w:r>
        <w:rPr>
          <w:rFonts w:cs="GoudyOlSt BT" w:ascii="GoudyOlSt BT" w:hAnsi="GoudyOlSt BT"/>
          <w:sz w:val="24"/>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ind w:start="720" w:end="720"/>
        <w:rPr>
          <w:rFonts w:ascii="GoudyOlSt BT" w:hAnsi="GoudyOlSt BT" w:cs="GoudyOlSt BT"/>
          <w:sz w:val="24"/>
        </w:rPr>
      </w:pPr>
      <w:r>
        <w:rPr>
          <w:rFonts w:cs="GoudyOlSt BT" w:ascii="GoudyOlSt BT" w:hAnsi="GoudyOlSt BT"/>
          <w:sz w:val="24"/>
        </w:rPr>
        <w:t>The county auditor shall remove the deduction from the tax duplicate and shall notify the county treasurer of the termination of the deduction. If the designating body's resolution is adopted after the county treasurer has mailed the statement required by IC 6</w:t>
        <w:noBreakHyphen/>
        <w:t>1.1</w:t>
        <w:noBreakHyphen/>
        <w:t>22</w:t>
        <w:noBreakHyphen/>
        <w:t>8, the county treasurer shall immediately mail the property owner a revised statement that reflects the termination of the deduction.</w:t>
      </w:r>
    </w:p>
    <w:p>
      <w:pPr>
        <w:pStyle w:val="Normal"/>
        <w:rPr>
          <w:rFonts w:ascii="GoudyOlSt BT" w:hAnsi="GoudyOlSt BT" w:cs="GoudyOlSt BT"/>
          <w:sz w:val="24"/>
        </w:rPr>
      </w:pPr>
      <w:r>
        <w:rPr>
          <w:rFonts w:cs="GoudyOlSt BT" w:ascii="GoudyOlSt BT" w:hAnsi="GoudyOlSt BT"/>
          <w:sz w:val="24"/>
        </w:rPr>
      </w:r>
    </w:p>
    <w:p>
      <w:pPr>
        <w:pStyle w:val="Normal"/>
        <w:ind w:firstLine="720" w:start="720" w:end="720"/>
        <w:rPr/>
      </w:pPr>
      <w:r>
        <w:rPr>
          <w:rFonts w:cs="GoudyOlSt BT" w:ascii="GoudyOlSt BT" w:hAnsi="GoudyOlSt BT"/>
          <w:sz w:val="24"/>
        </w:rPr>
        <w:t xml:space="preserve">(e) A property owner whose deduction is terminated by the designating body under this section </w:t>
      </w:r>
      <w:r>
        <w:rPr>
          <w:rFonts w:cs="GoudyOlSt BT" w:ascii="GoudyOlSt BT" w:hAnsi="GoudyOlSt BT"/>
          <w:b/>
          <w:bCs/>
          <w:sz w:val="24"/>
          <w:u w:val="double"/>
        </w:rPr>
        <w:t xml:space="preserve">may appeal the designating body's decision by filing a complaint in the office of the clerk of the circuit or superior court together with a bond conditioned to pay the costs of the appeal if the appeal is determined against the property owner. An appeal under this subsection shall be promptly heard by the court without a jury and determined within thirty (30) days after the time of the filing of the appeal. </w:t>
      </w:r>
      <w:r>
        <w:rPr>
          <w:rFonts w:cs="GoudyOlSt BT" w:ascii="GoudyOlSt BT" w:hAnsi="GoudyOlSt BT"/>
          <w:sz w:val="24"/>
        </w:rPr>
        <w:t>The court shall hear evidence on the appeal and may confirm the action of the designating body or sustain the appeal. The judgment of the court is final and conclusive unless an appeal is taken as in other civil actions.</w:t>
      </w:r>
    </w:p>
    <w:p>
      <w:pPr>
        <w:pStyle w:val="Normal"/>
        <w:rPr>
          <w:rFonts w:ascii="GoudyOlSt BT" w:hAnsi="GoudyOlSt BT" w:cs="GoudyOlSt BT"/>
          <w:sz w:val="24"/>
        </w:rPr>
      </w:pPr>
      <w:r>
        <w:rPr>
          <w:rFonts w:cs="GoudyOlSt BT" w:ascii="GoudyOlSt BT" w:hAnsi="GoudyOlSt BT"/>
          <w:sz w:val="24"/>
        </w:rPr>
      </w:r>
    </w:p>
    <w:p>
      <w:pPr>
        <w:pStyle w:val="Normal"/>
        <w:ind w:firstLine="720" w:start="720" w:end="720"/>
        <w:rPr>
          <w:rFonts w:ascii="GoudyOlSt BT" w:hAnsi="GoudyOlSt BT" w:cs="GoudyOlSt BT"/>
          <w:sz w:val="24"/>
        </w:rPr>
      </w:pPr>
      <w:r>
        <w:rPr>
          <w:rFonts w:cs="GoudyOlSt BT" w:ascii="GoudyOlSt BT" w:hAnsi="GoudyOlSt BT"/>
          <w:sz w:val="24"/>
        </w:rPr>
        <w:t>(f) If an appeal under subsection (e) is pending, the taxes resulting from the termination of the deduction are not due until after the appeal is finally adjudicated and the termination of the deduction is finally determined.  As added by P.L.14</w:t>
        <w:noBreakHyphen/>
        <w:t>1991, SEC.6.</w:t>
      </w:r>
    </w:p>
    <w:p>
      <w:pPr>
        <w:pStyle w:val="Normal"/>
        <w:rPr>
          <w:rFonts w:ascii="GoudyOlSt BT" w:hAnsi="GoudyOlSt BT" w:cs="GoudyOlSt BT"/>
          <w:sz w:val="24"/>
        </w:rPr>
      </w:pPr>
      <w:r>
        <w:rPr>
          <w:rFonts w:cs="GoudyOlSt BT" w:ascii="GoudyOlSt BT" w:hAnsi="GoudyOlSt BT"/>
          <w:sz w:val="24"/>
        </w:rPr>
      </w:r>
    </w:p>
    <w:p>
      <w:pPr>
        <w:pStyle w:val="Normal"/>
        <w:spacing w:lineRule="auto" w:line="480"/>
        <w:rPr/>
      </w:pPr>
      <w:r>
        <w:rPr>
          <w:rFonts w:cs="GoudyOlSt BT" w:ascii="GoudyOlSt BT" w:hAnsi="GoudyOlSt BT"/>
          <w:sz w:val="24"/>
        </w:rPr>
        <w:t xml:space="preserve">This would obviously require an affirmative action, and a finding of factors which </w:t>
      </w:r>
      <w:r>
        <w:rPr>
          <w:rFonts w:cs="WP TypographicSymbols" w:ascii="WP TypographicSymbols" w:hAnsi="WP TypographicSymbols"/>
          <w:sz w:val="24"/>
        </w:rPr>
        <w:t>A</w:t>
      </w:r>
      <w:r>
        <w:rPr>
          <w:rFonts w:cs="GoudyOlSt BT" w:ascii="GoudyOlSt BT" w:hAnsi="GoudyOlSt BT"/>
          <w:sz w:val="24"/>
        </w:rPr>
        <w:t>were in Enron</w:t>
      </w:r>
      <w:r>
        <w:rPr>
          <w:rFonts w:cs="WP TypographicSymbols" w:ascii="WP TypographicSymbols" w:hAnsi="WP TypographicSymbols"/>
          <w:sz w:val="24"/>
        </w:rPr>
        <w:t>=</w:t>
      </w:r>
      <w:r>
        <w:rPr>
          <w:rFonts w:cs="GoudyOlSt BT" w:ascii="GoudyOlSt BT" w:hAnsi="GoudyOlSt BT"/>
          <w:sz w:val="24"/>
        </w:rPr>
        <w:t>s or its successor</w:t>
      </w:r>
      <w:r>
        <w:rPr>
          <w:rFonts w:cs="WP TypographicSymbols" w:ascii="WP TypographicSymbols" w:hAnsi="WP TypographicSymbols"/>
          <w:sz w:val="24"/>
        </w:rPr>
        <w:t>=</w:t>
      </w:r>
      <w:r>
        <w:rPr>
          <w:rFonts w:cs="GoudyOlSt BT" w:ascii="GoudyOlSt BT" w:hAnsi="GoudyOlSt BT"/>
          <w:sz w:val="24"/>
        </w:rPr>
        <w:t>s control.</w:t>
      </w:r>
      <w:r>
        <w:rPr>
          <w:rFonts w:cs="WP TypographicSymbols" w:ascii="WP TypographicSymbols" w:hAnsi="WP TypographicSymbols"/>
          <w:sz w:val="24"/>
        </w:rPr>
        <w:t>@</w:t>
      </w:r>
      <w:r>
        <w:rPr>
          <w:rFonts w:cs="GoudyOlSt BT" w:ascii="GoudyOlSt BT" w:hAnsi="GoudyOlSt BT"/>
          <w:sz w:val="24"/>
        </w:rPr>
        <w:t xml:space="preserve">  This seems unlikely to me, because you could marshall a lot of facts in such a volatile industry, but you might want to seek John Gregg</w:t>
      </w:r>
      <w:r>
        <w:rPr>
          <w:rFonts w:cs="WP TypographicSymbols" w:ascii="WP TypographicSymbols" w:hAnsi="WP TypographicSymbols"/>
          <w:sz w:val="24"/>
        </w:rPr>
        <w:t>=</w:t>
      </w:r>
      <w:r>
        <w:rPr>
          <w:rFonts w:cs="GoudyOlSt BT" w:ascii="GoudyOlSt BT" w:hAnsi="GoudyOlSt BT"/>
          <w:sz w:val="24"/>
        </w:rPr>
        <w:t>s thoughts on that.  He is our local counsel and could tell you if this has ever happened to anyone else in Knox County.  If this became an issue, we would want John to take the lead in dealing with the local officials.  I have the utmost trust and confidence in John to give us the best and straightest information on something like this.</w:t>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oudyOlSt BT">
    <w:charset w:val="00" w:characterSet="windows-1252"/>
    <w:family w:val="roman"/>
    <w:pitch w:val="variable"/>
  </w:font>
  <w:font w:name="WP TypographicSymbols">
    <w:charset w:val="00" w:characterSet="windows-1252"/>
    <w:family w:val="auto"/>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2000-11-01T10:37:00Z</dcterms:created>
  <dc:creator>Compaq Customer</dc:creator>
  <dc:description/>
  <dc:language>en-CA</dc:language>
  <cp:lastModifiedBy>Compaq Customer</cp:lastModifiedBy>
  <dcterms:modified xsi:type="dcterms:W3CDTF">2000-11-01T10:37:00Z</dcterms:modified>
  <cp:revision>2</cp:revision>
  <dc:subject/>
  <dc:title/>
</cp:coreProperties>
</file>