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pPr>
      <w:r>
        <w:rPr/>
        <w:t>AMENDMENT NO. 1</w:t>
      </w:r>
    </w:p>
    <w:p>
      <w:pPr>
        <w:pStyle w:val="Normal"/>
        <w:widowControl/>
        <w:bidi w:val="0"/>
        <w:jc w:val="center"/>
        <w:rPr/>
      </w:pPr>
      <w:r>
        <w:rPr/>
      </w:r>
    </w:p>
    <w:p>
      <w:pPr>
        <w:pStyle w:val="Normal"/>
        <w:widowControl/>
        <w:bidi w:val="0"/>
        <w:jc w:val="start"/>
        <w:rPr/>
      </w:pPr>
      <w:r>
        <w:rPr/>
        <w:tab/>
      </w:r>
    </w:p>
    <w:p>
      <w:pPr>
        <w:pStyle w:val="Normal"/>
        <w:widowControl/>
        <w:bidi w:val="0"/>
        <w:ind w:firstLine="1440"/>
        <w:jc w:val="start"/>
        <w:rPr/>
      </w:pPr>
      <w:r>
        <w:rPr/>
        <w:t>AMENDMENT NO. 1 dated as of August [__], 2000 between DELTA ENERGY CORPORATION (the "</w:t>
      </w:r>
      <w:r>
        <w:rPr>
          <w:u w:val="single"/>
        </w:rPr>
        <w:t>Payor</w:t>
      </w:r>
      <w:r>
        <w:rPr/>
        <w:t>") and YOSEMITE SECURITIES COMPANY LTD. ("</w:t>
      </w:r>
      <w:r>
        <w:rPr>
          <w:u w:val="single"/>
        </w:rPr>
        <w:t>Yosemite</w:t>
      </w:r>
      <w:r>
        <w:rPr/>
        <w:t>" or the "</w:t>
      </w:r>
      <w:r>
        <w:rPr>
          <w:u w:val="single"/>
        </w:rPr>
        <w:t>Payee</w:t>
      </w:r>
      <w:r>
        <w:rPr/>
        <w:t>").</w:t>
      </w:r>
    </w:p>
    <w:p>
      <w:pPr>
        <w:pStyle w:val="Normal"/>
        <w:widowControl/>
        <w:bidi w:val="0"/>
        <w:jc w:val="start"/>
        <w:rPr/>
      </w:pPr>
      <w:r>
        <w:rPr/>
      </w:r>
    </w:p>
    <w:p>
      <w:pPr>
        <w:pStyle w:val="Normal"/>
        <w:widowControl/>
        <w:bidi w:val="0"/>
        <w:ind w:firstLine="1440"/>
        <w:jc w:val="start"/>
        <w:rPr/>
      </w:pPr>
      <w:r>
        <w:rPr/>
        <w:t>The Payor issued a Promissory Note dated as of February 23, 2000 (the "</w:t>
      </w:r>
      <w:r>
        <w:rPr>
          <w:u w:val="single"/>
        </w:rPr>
        <w:t>Delta Note</w:t>
      </w:r>
      <w:r>
        <w:rPr/>
        <w:t>") in favor of and payable to Yosemite in an original principal amount of £206,750,000.    The Payor and Yosemite wish to amend the Delta Note in certain respects.    Accordingly, the parties hereto hereby agree as follows:</w:t>
      </w:r>
    </w:p>
    <w:p>
      <w:pPr>
        <w:pStyle w:val="Normal"/>
        <w:widowControl/>
        <w:bidi w:val="0"/>
        <w:jc w:val="start"/>
        <w:rPr/>
      </w:pPr>
      <w:r>
        <w:rPr/>
      </w:r>
    </w:p>
    <w:p>
      <w:pPr>
        <w:pStyle w:val="Normal"/>
        <w:widowControl/>
        <w:bidi w:val="0"/>
        <w:ind w:firstLine="1440"/>
        <w:jc w:val="start"/>
        <w:rPr/>
      </w:pPr>
      <w:r>
        <w:rPr/>
        <w:t xml:space="preserve">Section 1.    </w:t>
      </w:r>
      <w:r>
        <w:rPr>
          <w:u w:val="single"/>
        </w:rPr>
        <w:t>Definitions</w:t>
      </w:r>
      <w:r>
        <w:rPr/>
        <w:t>.    Except as otherwise defined in this Amendment No. 1, terms defined in the Delta Note are used herein as defined therein.</w:t>
      </w:r>
    </w:p>
    <w:p>
      <w:pPr>
        <w:pStyle w:val="Normal"/>
        <w:widowControl/>
        <w:bidi w:val="0"/>
        <w:ind w:firstLine="2160"/>
        <w:jc w:val="start"/>
        <w:rPr/>
      </w:pPr>
      <w:r>
        <w:rPr/>
      </w:r>
    </w:p>
    <w:p>
      <w:pPr>
        <w:pStyle w:val="Normal"/>
        <w:widowControl/>
        <w:tabs>
          <w:tab w:val="clear" w:pos="720"/>
          <w:tab w:val="left" w:pos="2520" w:leader="none"/>
        </w:tabs>
        <w:bidi w:val="0"/>
        <w:ind w:firstLine="720" w:start="720"/>
        <w:jc w:val="start"/>
        <w:rPr>
          <w:color w:val="000000"/>
        </w:rPr>
      </w:pPr>
      <w:r>
        <w:rPr/>
        <w:t xml:space="preserve">Section 2.    </w:t>
      </w:r>
      <w:r>
        <w:rPr>
          <w:u w:val="single"/>
        </w:rPr>
        <w:t>Amendments to the Delta Note</w:t>
      </w:r>
      <w:r>
        <w:rPr/>
        <w:t>.    Subject to the execution and delivery hereof by the Payor and Yosemite, but effective as of the date first written above, Annex I to the Delta Note is hereby amended by amending the following existing definitions and adding the following new definitions in the appropriate alphabetical locations:</w:t>
      </w:r>
    </w:p>
    <w:p>
      <w:pPr>
        <w:pStyle w:val="Normal"/>
        <w:widowControl/>
        <w:bidi w:val="0"/>
        <w:jc w:val="start"/>
        <w:rPr>
          <w:color w:val="000000"/>
        </w:rPr>
      </w:pPr>
      <w:r>
        <w:rPr>
          <w:color w:val="000000"/>
        </w:rPr>
      </w:r>
    </w:p>
    <w:p>
      <w:pPr>
        <w:pStyle w:val="Normal"/>
        <w:widowControl/>
        <w:bidi w:val="0"/>
        <w:ind w:hanging="720" w:start="720"/>
        <w:jc w:val="start"/>
        <w:rPr>
          <w:b/>
          <w:color w:val="000000"/>
          <w:u w:val="double"/>
        </w:rPr>
      </w:pPr>
      <w:r>
        <w:rPr>
          <w:color w:val="000000"/>
        </w:rPr>
        <w:tab/>
        <w:tab/>
      </w:r>
      <w:r>
        <w:rPr>
          <w:b/>
          <w:color w:val="000000"/>
          <w:u w:val="double"/>
        </w:rPr>
        <w:t>"</w:t>
      </w:r>
      <w:r>
        <w:rPr>
          <w:b/>
          <w:i/>
          <w:color w:val="000000"/>
          <w:u w:val="double"/>
        </w:rPr>
        <w:t>August 2000 Enron/Delta Swap</w:t>
      </w:r>
      <w:r>
        <w:rPr>
          <w:b/>
          <w:color w:val="000000"/>
          <w:u w:val="double"/>
        </w:rPr>
        <w:t>" means the Confirmation dated as of August [__], 2000 between Enron North America Corp. and the Payor under the ISDA Master Agreement (and the Schedule thereto) dated as of November 18, 1999.    Reference in this Note to the August 2000 Enron/Delta Swap shall include reference to the August 2000 Enron Guaranty.</w:t>
      </w:r>
    </w:p>
    <w:p>
      <w:pPr>
        <w:pStyle w:val="Normal"/>
        <w:widowControl/>
        <w:bidi w:val="0"/>
        <w:ind w:hanging="720" w:start="720"/>
        <w:jc w:val="start"/>
        <w:rPr>
          <w:b/>
          <w:color w:val="000000"/>
          <w:u w:val="double"/>
        </w:rPr>
      </w:pPr>
      <w:r>
        <w:rPr>
          <w:b/>
          <w:color w:val="000000"/>
          <w:u w:val="double"/>
        </w:rPr>
      </w:r>
    </w:p>
    <w:p>
      <w:pPr>
        <w:pStyle w:val="Normal"/>
        <w:widowControl/>
        <w:bidi w:val="0"/>
        <w:ind w:hanging="720" w:start="720"/>
        <w:jc w:val="start"/>
        <w:rPr>
          <w:b/>
          <w:color w:val="000000"/>
          <w:u w:val="double"/>
        </w:rPr>
      </w:pPr>
      <w:r>
        <w:rPr>
          <w:color w:val="000000"/>
        </w:rPr>
        <w:tab/>
        <w:tab/>
      </w:r>
      <w:r>
        <w:rPr>
          <w:b/>
          <w:color w:val="000000"/>
          <w:u w:val="double"/>
        </w:rPr>
        <w:t>"</w:t>
      </w:r>
      <w:r>
        <w:rPr>
          <w:b/>
          <w:i/>
          <w:color w:val="000000"/>
          <w:u w:val="double"/>
        </w:rPr>
        <w:t>August 2000 Delta/Citibank Swap</w:t>
      </w:r>
      <w:r>
        <w:rPr>
          <w:b/>
          <w:color w:val="000000"/>
          <w:u w:val="double"/>
        </w:rPr>
        <w:t xml:space="preserve">" means the Confirmation dated as of August [__], 2000 between the Payor and Citibank, N.A. under the ISDA Master Agreement (and the Schedule thereto) dated as of November 18, 1999. </w:t>
      </w:r>
    </w:p>
    <w:p>
      <w:pPr>
        <w:pStyle w:val="Normal"/>
        <w:widowControl/>
        <w:bidi w:val="0"/>
        <w:jc w:val="start"/>
        <w:rPr>
          <w:b/>
          <w:color w:val="000000"/>
          <w:u w:val="double"/>
        </w:rPr>
      </w:pPr>
      <w:r>
        <w:rPr>
          <w:b/>
          <w:color w:val="000000"/>
          <w:u w:val="double"/>
        </w:rPr>
      </w:r>
    </w:p>
    <w:p>
      <w:pPr>
        <w:pStyle w:val="Normal"/>
        <w:widowControl/>
        <w:bidi w:val="0"/>
        <w:ind w:hanging="720" w:start="720"/>
        <w:jc w:val="start"/>
        <w:rPr>
          <w:b/>
          <w:color w:val="000000"/>
          <w:u w:val="double"/>
        </w:rPr>
      </w:pPr>
      <w:r>
        <w:rPr>
          <w:color w:val="000000"/>
        </w:rPr>
        <w:tab/>
        <w:tab/>
        <w:t xml:space="preserve"> </w:t>
      </w:r>
      <w:r>
        <w:rPr>
          <w:b/>
          <w:color w:val="000000"/>
          <w:u w:val="double"/>
        </w:rPr>
        <w:t>"</w:t>
      </w:r>
      <w:r>
        <w:rPr>
          <w:b/>
          <w:i/>
          <w:color w:val="000000"/>
          <w:u w:val="double"/>
        </w:rPr>
        <w:t>August 2000 Enron Guaranty</w:t>
      </w:r>
      <w:r>
        <w:rPr>
          <w:b/>
          <w:color w:val="000000"/>
          <w:u w:val="double"/>
        </w:rPr>
        <w:t>" means the Guaranty Agreement dated August [__], 2000 by Enron Corp. in favor of the Payor and its successors and assigns.</w:t>
      </w:r>
    </w:p>
    <w:p>
      <w:pPr>
        <w:pStyle w:val="Normal"/>
        <w:widowControl/>
        <w:bidi w:val="0"/>
        <w:jc w:val="start"/>
        <w:rPr>
          <w:b/>
          <w:color w:val="000000"/>
          <w:u w:val="double"/>
        </w:rPr>
      </w:pPr>
      <w:r>
        <w:rPr>
          <w:b/>
          <w:color w:val="000000"/>
          <w:u w:val="double"/>
        </w:rPr>
      </w:r>
    </w:p>
    <w:p>
      <w:pPr>
        <w:pStyle w:val="Normal"/>
        <w:widowControl/>
        <w:bidi w:val="0"/>
        <w:ind w:firstLine="720" w:start="720"/>
        <w:jc w:val="start"/>
        <w:rPr>
          <w:color w:val="000000"/>
        </w:rPr>
      </w:pPr>
      <w:r>
        <w:rPr>
          <w:b/>
          <w:color w:val="000000"/>
          <w:u w:val="double"/>
        </w:rPr>
        <w:t>"</w:t>
      </w:r>
      <w:r>
        <w:rPr>
          <w:b/>
          <w:i/>
          <w:color w:val="000000"/>
          <w:u w:val="double"/>
        </w:rPr>
        <w:t>August 2000 Swaps</w:t>
      </w:r>
      <w:r>
        <w:rPr>
          <w:b/>
          <w:color w:val="000000"/>
          <w:u w:val="double"/>
        </w:rPr>
        <w:t>" means the August 2000 Enron/Delta Swap and the August 2000 Delta/Citibank Swap.</w:t>
      </w:r>
    </w:p>
    <w:p>
      <w:pPr>
        <w:pStyle w:val="Normal"/>
        <w:widowControl/>
        <w:tabs>
          <w:tab w:val="left" w:pos="-1440" w:leader="none"/>
          <w:tab w:val="left" w:pos="-720" w:leader="none"/>
          <w:tab w:val="left" w:pos="720" w:leader="none"/>
          <w:tab w:val="center" w:pos="1440" w:leader="none"/>
        </w:tabs>
        <w:suppressAutoHyphens w:val="true"/>
        <w:bidi w:val="0"/>
        <w:ind w:firstLine="720" w:start="720"/>
        <w:jc w:val="start"/>
        <w:rPr>
          <w:color w:val="000000"/>
        </w:rPr>
      </w:pPr>
      <w:r>
        <w:rPr>
          <w:color w:val="000000"/>
        </w:rPr>
      </w:r>
    </w:p>
    <w:p>
      <w:pPr>
        <w:pStyle w:val="Normal"/>
        <w:widowControl/>
        <w:tabs>
          <w:tab w:val="left" w:pos="-1440" w:leader="none"/>
          <w:tab w:val="left" w:pos="-720" w:leader="none"/>
          <w:tab w:val="left" w:pos="720" w:leader="none"/>
          <w:tab w:val="center" w:pos="1440" w:leader="none"/>
        </w:tabs>
        <w:suppressAutoHyphens w:val="true"/>
        <w:bidi w:val="0"/>
        <w:ind w:firstLine="720" w:start="720"/>
        <w:jc w:val="start"/>
        <w:rPr>
          <w:color w:val="000000"/>
        </w:rPr>
      </w:pPr>
      <w:r>
        <w:rPr>
          <w:color w:val="000000"/>
        </w:rPr>
        <w:t>"</w:t>
      </w:r>
      <w:r>
        <w:rPr>
          <w:b/>
          <w:i/>
          <w:color w:val="000000"/>
        </w:rPr>
        <w:t>Other Property</w:t>
      </w:r>
      <w:r>
        <w:rPr>
          <w:color w:val="000000"/>
        </w:rPr>
        <w:t xml:space="preserve">" means assets or property of the Payor other than Collateral </w:t>
      </w:r>
      <w:r>
        <w:rPr>
          <w:b/>
          <w:color w:val="000000"/>
          <w:u w:val="double"/>
        </w:rPr>
        <w:t>and property that is subject to Permitted Liens</w:t>
      </w:r>
      <w:r>
        <w:rPr>
          <w:color w:val="000000"/>
        </w:rPr>
        <w:t>.</w:t>
      </w:r>
    </w:p>
    <w:p>
      <w:pPr>
        <w:pStyle w:val="Normal"/>
        <w:widowControl/>
        <w:tabs>
          <w:tab w:val="clear" w:pos="720"/>
          <w:tab w:val="left" w:pos="-1440" w:leader="none"/>
          <w:tab w:val="left" w:pos="-720" w:leader="none"/>
          <w:tab w:val="center" w:pos="0" w:leader="none"/>
          <w:tab w:val="center" w:pos="2160" w:leader="none"/>
        </w:tabs>
        <w:suppressAutoHyphens w:val="true"/>
        <w:bidi w:val="0"/>
        <w:jc w:val="start"/>
        <w:rPr>
          <w:color w:val="000000"/>
        </w:rPr>
      </w:pPr>
      <w:r>
        <w:rPr>
          <w:color w:val="000000"/>
        </w:rPr>
      </w:r>
    </w:p>
    <w:p>
      <w:pPr>
        <w:pStyle w:val="Normal"/>
        <w:widowControl/>
        <w:tabs>
          <w:tab w:val="left" w:pos="720" w:leader="none"/>
        </w:tabs>
        <w:suppressAutoHyphens w:val="true"/>
        <w:bidi w:val="0"/>
        <w:spacing w:lineRule="atLeast" w:line="240"/>
        <w:ind w:hanging="720" w:start="720"/>
        <w:jc w:val="start"/>
        <w:rPr/>
      </w:pPr>
      <w:r>
        <w:rPr/>
        <w:tab/>
        <w:tab/>
        <w:t>"</w:t>
      </w:r>
      <w:r>
        <w:rPr>
          <w:b/>
          <w:i/>
        </w:rPr>
        <w:t>Permitted Indebtedness</w:t>
      </w:r>
      <w:r>
        <w:rPr/>
        <w:t xml:space="preserve">" means (a) indebtedness under this Note (and all Successor Notes) </w:t>
      </w:r>
      <w:r>
        <w:rPr>
          <w:strike/>
        </w:rPr>
        <w:t>[and the Swaps]</w:t>
      </w:r>
      <w:r>
        <w:rPr/>
        <w:t xml:space="preserve">; (b) indebtedness outstanding on the date hereof as identified in Part A to Annex B    hereto; (c) indebtedness subordinated to this Note on terms and conditions satisfactory to the Payee; </w:t>
      </w:r>
      <w:r>
        <w:rPr>
          <w:strike/>
        </w:rPr>
        <w:t>[and (d) ]</w:t>
      </w:r>
      <w:r>
        <w:rPr>
          <w:b/>
          <w:u w:val="double"/>
        </w:rPr>
        <w:t>(d) indebtedness in connection with commodity Transactions (including, without limitation, the Swaps and the August 2000 Swaps); and (e)</w:t>
      </w:r>
      <w:r>
        <w:rPr/>
        <w:t xml:space="preserve"> additional indebtedness of the Payor up to but not exceeding U.S.$10,000,000 (or its equivalent in other currencies, determined as at the date of incurrence) at any one time outstanding.</w:t>
      </w:r>
    </w:p>
    <w:p>
      <w:pPr>
        <w:pStyle w:val="Normal"/>
        <w:widowControl/>
        <w:tabs>
          <w:tab w:val="clear" w:pos="720"/>
          <w:tab w:val="left" w:pos="0" w:leader="none"/>
        </w:tabs>
        <w:suppressAutoHyphens w:val="true"/>
        <w:bidi w:val="0"/>
        <w:spacing w:lineRule="atLeast" w:line="240"/>
        <w:jc w:val="start"/>
        <w:rPr/>
      </w:pPr>
      <w:r>
        <w:rPr/>
      </w:r>
    </w:p>
    <w:p>
      <w:pPr>
        <w:pStyle w:val="Normal"/>
        <w:widowControl/>
        <w:bidi w:val="0"/>
        <w:ind w:hanging="720" w:start="720"/>
        <w:jc w:val="start"/>
        <w:rPr/>
      </w:pPr>
      <w:r>
        <w:rPr/>
        <w:tab/>
        <w:tab/>
        <w:t>"</w:t>
      </w:r>
      <w:r>
        <w:rPr>
          <w:b/>
          <w:i/>
        </w:rPr>
        <w:t>Permitted Investments</w:t>
      </w:r>
      <w:r>
        <w:rPr/>
        <w:t xml:space="preserve">" means:    (a)    investments outstanding on the date hereof; (b) operating deposit accounts with banks; (c) Temporary Investments; (d) commodity Transactions (including, without limitation, the </w:t>
      </w:r>
      <w:r>
        <w:rPr>
          <w:b/>
          <w:u w:val="double"/>
        </w:rPr>
        <w:t>Swaps and the August 2000</w:t>
      </w:r>
      <w:r>
        <w:rPr/>
        <w:t xml:space="preserve"> Swaps); and (e) additional investments up to but not exceeding U.S.$100,000,000 (or its equivalent in other currencies, determined as at the date of acquisition of such investment) in the aggregate.</w:t>
      </w:r>
    </w:p>
    <w:p>
      <w:pPr>
        <w:pStyle w:val="Normal"/>
        <w:widowControl/>
        <w:tabs>
          <w:tab w:val="clear" w:pos="720"/>
          <w:tab w:val="left" w:pos="0" w:leader="none"/>
        </w:tabs>
        <w:suppressAutoHyphens w:val="true"/>
        <w:bidi w:val="0"/>
        <w:spacing w:lineRule="atLeast" w:line="240"/>
        <w:jc w:val="start"/>
        <w:rPr/>
      </w:pPr>
      <w:r>
        <w:rPr/>
      </w:r>
    </w:p>
    <w:p>
      <w:pPr>
        <w:pStyle w:val="Normal"/>
        <w:widowControl/>
        <w:tabs>
          <w:tab w:val="clear" w:pos="720"/>
          <w:tab w:val="left" w:pos="-1440" w:leader="none"/>
          <w:tab w:val="left" w:pos="-720" w:leader="none"/>
          <w:tab w:val="center" w:pos="1440" w:leader="none"/>
          <w:tab w:val="center" w:pos="2160" w:leader="none"/>
        </w:tabs>
        <w:suppressAutoHyphens w:val="true"/>
        <w:bidi w:val="0"/>
        <w:ind w:hanging="720" w:start="720"/>
        <w:jc w:val="start"/>
        <w:rPr>
          <w:color w:val="000000"/>
        </w:rPr>
      </w:pPr>
      <w:r>
        <w:rPr/>
        <w:tab/>
        <w:tab/>
        <w:tab/>
        <w:t>"</w:t>
      </w:r>
      <w:r>
        <w:rPr>
          <w:b/>
          <w:i/>
        </w:rPr>
        <w:t>Permitted Liens</w:t>
      </w:r>
      <w:r>
        <w:rPr/>
        <w:t xml:space="preserve">" means:    (a) liens under this Note; (b) liens in favor of </w:t>
      </w:r>
      <w:r>
        <w:rPr>
          <w:strike/>
        </w:rPr>
        <w:t>[Swap Counterparties under]</w:t>
      </w:r>
      <w:r>
        <w:rPr/>
        <w:t xml:space="preserve"> </w:t>
      </w:r>
      <w:r>
        <w:rPr>
          <w:b/>
          <w:u w:val="double"/>
        </w:rPr>
        <w:t>Citibank and/or Enron North America in connection with commodity Transactions (including, without limitation,</w:t>
      </w:r>
      <w:r>
        <w:rPr/>
        <w:t xml:space="preserve"> the Swaps </w:t>
      </w:r>
      <w:r>
        <w:rPr>
          <w:b/>
          <w:u w:val="double"/>
        </w:rPr>
        <w:t>and the August 2000 Swaps)</w:t>
      </w:r>
      <w:r>
        <w:rPr/>
        <w:t>; (c) liens in existence on the date hereof as identified in Part B to Annex B hereto; (d) liens imposed by any governmental authority for taxes, assessments or charges not yet due or that are being contested in good faith and by appropriate proceedings if adequate reserves with respect thereto are maintained on the books of the Payor in accordance with generally accepted accounting principles; (e) carriers', warehousemen's, mechanics', materialmen's, repairmen's or other like liens arising in the ordinary course of business that are not overdue for a period of more than 30 days or that are being contested in good faith and by appropriate proceedings and liens securing judgments but only to the extent for an amount and for a period not resulting in an Event of Default; (f) pledges or deposits under worker's compensation, unemployment insurance and other social security legislation; (g) deposits to secure the performance of bids, trade contracts (other than for indebtedness), leases, statutory obligations, surety and appeal bonds, performance bonds and other obligations of a like nature incurred in the ordinary course of business; and (h) easements, rights-of-way, restrictions and other similar encumbrances incurred in the ordinary course of business and encumbrances consisting of zoning restrictions, easements, licenses, restrictions on the use of property or minor imperfections in title thereto that, in the aggregate, are not material in amount, and that do not in any case materially detract from the value of the property subject thereto or interfere with the ordinary conduct of the business of the Payor.</w:t>
      </w:r>
    </w:p>
    <w:p>
      <w:pPr>
        <w:pStyle w:val="Normal"/>
        <w:widowControl/>
        <w:tabs>
          <w:tab w:val="clear" w:pos="720"/>
          <w:tab w:val="left" w:pos="-1440" w:leader="none"/>
          <w:tab w:val="left" w:pos="-720" w:leader="none"/>
          <w:tab w:val="center" w:pos="0" w:leader="none"/>
          <w:tab w:val="center" w:pos="2160" w:leader="none"/>
        </w:tabs>
        <w:suppressAutoHyphens w:val="true"/>
        <w:bidi w:val="0"/>
        <w:jc w:val="start"/>
        <w:rPr>
          <w:color w:val="000000"/>
        </w:rPr>
      </w:pPr>
      <w:r>
        <w:rPr>
          <w:color w:val="000000"/>
        </w:rPr>
      </w:r>
    </w:p>
    <w:p>
      <w:pPr>
        <w:pStyle w:val="Normal"/>
        <w:widowControl/>
        <w:tabs>
          <w:tab w:val="clear" w:pos="720"/>
          <w:tab w:val="left" w:pos="-1440" w:leader="none"/>
          <w:tab w:val="left" w:pos="-720" w:leader="none"/>
          <w:tab w:val="center" w:pos="0" w:leader="none"/>
          <w:tab w:val="center" w:pos="1440" w:leader="none"/>
          <w:tab w:val="center" w:pos="1800" w:leader="none"/>
        </w:tabs>
        <w:suppressAutoHyphens w:val="true"/>
        <w:bidi w:val="0"/>
        <w:jc w:val="start"/>
        <w:rPr/>
      </w:pPr>
      <w:r>
        <w:rPr/>
        <w:tab/>
        <w:tab/>
        <w:t xml:space="preserve">Section 3.    </w:t>
      </w:r>
      <w:r>
        <w:rPr>
          <w:u w:val="single"/>
        </w:rPr>
        <w:t>Consent</w:t>
      </w:r>
      <w:r>
        <w:rPr/>
        <w:t>.    By its signature below, the Payee hereby consents to this Amendment No. 1 of the Delta Note.</w:t>
      </w:r>
    </w:p>
    <w:p>
      <w:pPr>
        <w:pStyle w:val="Normal"/>
        <w:widowControl/>
        <w:tabs>
          <w:tab w:val="clear" w:pos="720"/>
          <w:tab w:val="left" w:pos="-1440" w:leader="none"/>
          <w:tab w:val="left" w:pos="-720" w:leader="none"/>
          <w:tab w:val="center" w:pos="0" w:leader="none"/>
          <w:tab w:val="center" w:pos="1800" w:leader="none"/>
        </w:tabs>
        <w:suppressAutoHyphens w:val="true"/>
        <w:bidi w:val="0"/>
        <w:jc w:val="start"/>
        <w:rPr/>
      </w:pPr>
      <w:r>
        <w:rPr/>
      </w:r>
    </w:p>
    <w:p>
      <w:pPr>
        <w:pStyle w:val="Normal"/>
        <w:widowControl/>
        <w:tabs>
          <w:tab w:val="clear" w:pos="720"/>
          <w:tab w:val="left" w:pos="-1440" w:leader="none"/>
          <w:tab w:val="left" w:pos="-720" w:leader="none"/>
          <w:tab w:val="center" w:pos="0" w:leader="none"/>
          <w:tab w:val="center" w:pos="1440" w:leader="none"/>
          <w:tab w:val="center" w:pos="1800" w:leader="none"/>
        </w:tabs>
        <w:suppressAutoHyphens w:val="true"/>
        <w:bidi w:val="0"/>
        <w:jc w:val="start"/>
        <w:rPr/>
      </w:pPr>
      <w:r>
        <w:rPr/>
        <w:tab/>
        <w:tab/>
        <w:t xml:space="preserve">Section 4.    </w:t>
      </w:r>
      <w:r>
        <w:rPr>
          <w:u w:val="single"/>
        </w:rPr>
        <w:t>Miscellaneous</w:t>
      </w:r>
      <w:r>
        <w:rPr/>
        <w:t>.    Except as herein provided, the Delta Note shall remain unchanged and in full force and effect.    This Amendment No. 1 may be executed in any number of counterparts, all of which taken together shall constitute one and the same amendatory instrument and any of the parties hereto may execute this Amendment No. 1 by signing any such counterpart.    This Amendment No. 1 shall be governed by, and construed in accordance with, the law of the State of New York.</w:t>
      </w:r>
      <w:r>
        <w:br w:type="page"/>
      </w:r>
    </w:p>
    <w:p>
      <w:pPr>
        <w:pStyle w:val="Normal"/>
        <w:widowControl/>
        <w:tabs>
          <w:tab w:val="clear" w:pos="720"/>
          <w:tab w:val="left" w:pos="-1440" w:leader="none"/>
          <w:tab w:val="left" w:pos="-720" w:leader="none"/>
          <w:tab w:val="center" w:pos="0" w:leader="none"/>
          <w:tab w:val="center" w:pos="1800" w:leader="none"/>
        </w:tabs>
        <w:suppressAutoHyphens w:val="true"/>
        <w:bidi w:val="0"/>
        <w:jc w:val="start"/>
        <w:rPr/>
      </w:pPr>
      <w:r>
        <w:rPr/>
      </w:r>
    </w:p>
    <w:p>
      <w:pPr>
        <w:pStyle w:val="Legal3L1"/>
        <w:widowControl/>
        <w:bidi w:val="0"/>
        <w:ind w:firstLine="1440"/>
        <w:jc w:val="start"/>
        <w:rPr>
          <w:rFonts w:ascii="Times New Roman" w:hAnsi="Times New Roman"/>
        </w:rPr>
      </w:pPr>
      <w:r>
        <w:rPr/>
        <w:t>IN WITNESS WHEREOF, each of the undersigned has caused this Amendment No. 1 to be executed and delivered by its duly authorized officer as an agreement under seal as of the date first above written.</w:t>
      </w:r>
    </w:p>
    <w:p>
      <w:pPr>
        <w:pStyle w:val="Normal"/>
        <w:widowControl/>
        <w:bidi w:val="0"/>
        <w:jc w:val="start"/>
        <w:rPr/>
      </w:pPr>
      <w:r>
        <w:rPr/>
      </w:r>
    </w:p>
    <w:p>
      <w:pPr>
        <w:pStyle w:val="Normal"/>
        <w:widowControl/>
        <w:tabs>
          <w:tab w:val="clear" w:pos="720"/>
          <w:tab w:val="left" w:pos="4320" w:leader="none"/>
        </w:tabs>
        <w:bidi w:val="0"/>
        <w:jc w:val="start"/>
        <w:rPr/>
      </w:pPr>
      <w:r>
        <w:rPr/>
      </w:r>
    </w:p>
    <w:p>
      <w:pPr>
        <w:pStyle w:val="Normal"/>
        <w:widowControl/>
        <w:tabs>
          <w:tab w:val="clear" w:pos="720"/>
          <w:tab w:val="left" w:pos="4320" w:leader="none"/>
        </w:tabs>
        <w:bidi w:val="0"/>
        <w:jc w:val="start"/>
        <w:rPr>
          <w:b/>
        </w:rPr>
      </w:pPr>
      <w:r>
        <w:rPr/>
        <w:tab/>
      </w:r>
      <w:r>
        <w:rPr>
          <w:b/>
        </w:rPr>
        <w:t>DELTA ENERGY CORPORATION</w:t>
      </w:r>
    </w:p>
    <w:p>
      <w:pPr>
        <w:pStyle w:val="Normal"/>
        <w:widowControl/>
        <w:tabs>
          <w:tab w:val="clear" w:pos="720"/>
          <w:tab w:val="left" w:pos="4320" w:leader="none"/>
        </w:tabs>
        <w:bidi w:val="0"/>
        <w:jc w:val="start"/>
        <w:rPr/>
      </w:pPr>
      <w:r>
        <w:rPr/>
      </w:r>
    </w:p>
    <w:p>
      <w:pPr>
        <w:pStyle w:val="Normal"/>
        <w:widowControl/>
        <w:tabs>
          <w:tab w:val="clear" w:pos="720"/>
          <w:tab w:val="left" w:pos="4320" w:leader="none"/>
        </w:tabs>
        <w:bidi w:val="0"/>
        <w:jc w:val="start"/>
        <w:rPr/>
      </w:pPr>
      <w:r>
        <w:rPr/>
      </w:r>
    </w:p>
    <w:p>
      <w:pPr>
        <w:pStyle w:val="Normal"/>
        <w:widowControl/>
        <w:tabs>
          <w:tab w:val="clear" w:pos="720"/>
          <w:tab w:val="left" w:pos="4320" w:leader="none"/>
        </w:tabs>
        <w:bidi w:val="0"/>
        <w:ind w:hanging="0" w:start="4320"/>
        <w:jc w:val="start"/>
        <w:rPr/>
      </w:pPr>
      <w:r>
        <w:rPr/>
        <w:t>By_______________________________</w:t>
      </w:r>
    </w:p>
    <w:p>
      <w:pPr>
        <w:pStyle w:val="Normal"/>
        <w:widowControl/>
        <w:tabs>
          <w:tab w:val="clear" w:pos="720"/>
          <w:tab w:val="left" w:pos="4320" w:leader="none"/>
        </w:tabs>
        <w:bidi w:val="0"/>
        <w:ind w:hanging="0" w:start="4320"/>
        <w:jc w:val="start"/>
        <w:rPr/>
      </w:pPr>
      <w:r>
        <w:rPr/>
        <w:t xml:space="preserve">        </w:t>
      </w:r>
      <w:r>
        <w:rPr/>
        <w:t>Name:</w:t>
      </w:r>
    </w:p>
    <w:p>
      <w:pPr>
        <w:pStyle w:val="Normal"/>
        <w:widowControl/>
        <w:tabs>
          <w:tab w:val="clear" w:pos="720"/>
          <w:tab w:val="left" w:pos="4320" w:leader="none"/>
        </w:tabs>
        <w:bidi w:val="0"/>
        <w:ind w:hanging="0" w:start="4320"/>
        <w:jc w:val="start"/>
        <w:rPr/>
      </w:pPr>
      <w:r>
        <w:rPr/>
        <w:t xml:space="preserve">        </w:t>
      </w:r>
      <w:r>
        <w:rPr/>
        <w:t>Title:</w:t>
      </w:r>
    </w:p>
    <w:p>
      <w:pPr>
        <w:pStyle w:val="Normal"/>
        <w:widowControl/>
        <w:tabs>
          <w:tab w:val="clear" w:pos="720"/>
          <w:tab w:val="left" w:pos="4320" w:leader="none"/>
        </w:tabs>
        <w:bidi w:val="0"/>
        <w:jc w:val="start"/>
        <w:rPr/>
      </w:pPr>
      <w:r>
        <w:rPr/>
      </w:r>
    </w:p>
    <w:p>
      <w:pPr>
        <w:pStyle w:val="Normal"/>
        <w:widowControl/>
        <w:tabs>
          <w:tab w:val="clear" w:pos="720"/>
          <w:tab w:val="left" w:pos="4320" w:leader="none"/>
        </w:tabs>
        <w:bidi w:val="0"/>
        <w:ind w:hanging="0" w:start="4320"/>
        <w:jc w:val="start"/>
        <w:rPr/>
      </w:pPr>
      <w:r>
        <w:rPr/>
      </w:r>
    </w:p>
    <w:p>
      <w:pPr>
        <w:pStyle w:val="Normal"/>
        <w:widowControl/>
        <w:tabs>
          <w:tab w:val="clear" w:pos="720"/>
          <w:tab w:val="left" w:pos="4320" w:leader="none"/>
        </w:tabs>
        <w:bidi w:val="0"/>
        <w:ind w:hanging="0" w:start="4320"/>
        <w:jc w:val="start"/>
        <w:rPr>
          <w:b/>
        </w:rPr>
      </w:pPr>
      <w:r>
        <w:rPr>
          <w:b/>
        </w:rPr>
        <w:t>YOSEMITE SECURITIES COMPANY LTD.</w:t>
      </w:r>
    </w:p>
    <w:p>
      <w:pPr>
        <w:pStyle w:val="Normal"/>
        <w:widowControl/>
        <w:tabs>
          <w:tab w:val="clear" w:pos="720"/>
          <w:tab w:val="left" w:pos="4320" w:leader="none"/>
        </w:tabs>
        <w:bidi w:val="0"/>
        <w:ind w:hanging="0" w:start="4320"/>
        <w:jc w:val="start"/>
        <w:rPr/>
      </w:pPr>
      <w:r>
        <w:rPr/>
        <w:t xml:space="preserve">            </w:t>
      </w:r>
    </w:p>
    <w:p>
      <w:pPr>
        <w:pStyle w:val="Normal"/>
        <w:widowControl/>
        <w:tabs>
          <w:tab w:val="clear" w:pos="720"/>
          <w:tab w:val="left" w:pos="4320" w:leader="none"/>
        </w:tabs>
        <w:bidi w:val="0"/>
        <w:ind w:hanging="0" w:start="4320"/>
        <w:jc w:val="start"/>
        <w:rPr/>
      </w:pPr>
      <w:r>
        <w:rPr/>
      </w:r>
    </w:p>
    <w:p>
      <w:pPr>
        <w:pStyle w:val="Normal"/>
        <w:widowControl/>
        <w:tabs>
          <w:tab w:val="clear" w:pos="720"/>
          <w:tab w:val="left" w:pos="4320" w:leader="none"/>
        </w:tabs>
        <w:bidi w:val="0"/>
        <w:ind w:hanging="0" w:start="4320"/>
        <w:jc w:val="start"/>
        <w:rPr/>
      </w:pPr>
      <w:r>
        <w:rPr/>
        <w:t>By_______________________________</w:t>
      </w:r>
    </w:p>
    <w:p>
      <w:pPr>
        <w:pStyle w:val="Normal"/>
        <w:widowControl/>
        <w:tabs>
          <w:tab w:val="clear" w:pos="720"/>
          <w:tab w:val="left" w:pos="4320" w:leader="none"/>
        </w:tabs>
        <w:bidi w:val="0"/>
        <w:ind w:hanging="0" w:start="4320"/>
        <w:jc w:val="start"/>
        <w:rPr/>
      </w:pPr>
      <w:r>
        <w:rPr/>
        <w:t xml:space="preserve">        </w:t>
      </w:r>
      <w:r>
        <w:rPr/>
        <w:t>Name:</w:t>
      </w:r>
    </w:p>
    <w:p>
      <w:pPr>
        <w:pStyle w:val="Normal"/>
        <w:widowControl/>
        <w:tabs>
          <w:tab w:val="clear" w:pos="720"/>
          <w:tab w:val="left" w:pos="4320" w:leader="none"/>
        </w:tabs>
        <w:bidi w:val="0"/>
        <w:ind w:hanging="0" w:start="4320"/>
        <w:jc w:val="start"/>
        <w:rPr/>
      </w:pPr>
      <w:r>
        <w:rPr/>
        <w:t xml:space="preserve">        </w:t>
      </w:r>
      <w:r>
        <w:rPr/>
        <w:t>Title:</w:t>
      </w:r>
    </w:p>
    <w:p>
      <w:pPr>
        <w:pStyle w:val="Normal"/>
        <w:widowControl/>
        <w:tabs>
          <w:tab w:val="clear" w:pos="720"/>
          <w:tab w:val="left" w:pos="4320" w:leader="none"/>
        </w:tabs>
        <w:bidi w:val="0"/>
        <w:ind w:hanging="0" w:start="4320"/>
        <w:jc w:val="start"/>
        <w:rPr/>
      </w:pPr>
      <w:r>
        <w:rPr/>
      </w:r>
    </w:p>
    <w:p>
      <w:pPr>
        <w:pStyle w:val="Normal"/>
        <w:widowControl/>
        <w:tabs>
          <w:tab w:val="clear" w:pos="720"/>
          <w:tab w:val="left" w:pos="4320" w:leader="none"/>
        </w:tabs>
        <w:bidi w:val="0"/>
        <w:ind w:hanging="0" w:start="4320"/>
        <w:jc w:val="start"/>
        <w:rPr/>
      </w:pPr>
      <w:r>
        <w:rPr/>
      </w:r>
    </w:p>
    <w:p>
      <w:pPr>
        <w:pStyle w:val="Normal"/>
        <w:widowControl/>
        <w:tabs>
          <w:tab w:val="clear" w:pos="720"/>
          <w:tab w:val="left" w:pos="4320" w:leader="none"/>
        </w:tabs>
        <w:bidi w:val="0"/>
        <w:jc w:val="start"/>
        <w:rPr/>
      </w:pPr>
      <w:r>
        <w:rPr/>
      </w:r>
    </w:p>
    <w:p>
      <w:pPr>
        <w:pStyle w:val="Normal"/>
        <w:widowControl/>
        <w:bidi w:val="0"/>
        <w:jc w:val="start"/>
        <w:rPr/>
      </w:pPr>
      <w:r>
        <w:rPr/>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t>------------------ COMPARISON OF HEADERS ------------------</w:t>
      </w:r>
    </w:p>
    <w:p>
      <w:pPr>
        <w:pStyle w:val="Normal"/>
        <w:widowControl/>
        <w:bidi w:val="0"/>
        <w:ind w:firstLine="720"/>
        <w:jc w:val="start"/>
        <w:rPr>
          <w:b/>
          <w:u w:val="double"/>
        </w:rPr>
      </w:pPr>
      <w:r>
        <w:rPr>
          <w:b/>
          <w:u w:val="double"/>
        </w:rPr>
      </w:r>
    </w:p>
    <w:p>
      <w:pPr>
        <w:pStyle w:val="Normal"/>
        <w:widowControl/>
        <w:bidi w:val="0"/>
        <w:ind w:firstLine="720"/>
        <w:jc w:val="start"/>
        <w:rPr>
          <w:b/>
          <w:u w:val="double"/>
        </w:rPr>
      </w:pPr>
      <w:r>
        <w:rPr>
          <w:b/>
          <w:u w:val="double"/>
        </w:rPr>
        <w:t>-HEADER 1-</w:t>
      </w:r>
    </w:p>
    <w:p>
      <w:pPr>
        <w:pStyle w:val="Normal"/>
        <w:widowControl/>
        <w:bidi w:val="0"/>
        <w:ind w:firstLine="720"/>
        <w:jc w:val="start"/>
        <w:rPr>
          <w:b/>
          <w:u w:val="double"/>
        </w:rPr>
      </w:pPr>
      <w:r>
        <w:rPr>
          <w:b/>
          <w:u w:val="double"/>
        </w:rPr>
      </w:r>
    </w:p>
    <w:p>
      <w:pPr>
        <w:pStyle w:val="Normal"/>
        <w:widowControl/>
        <w:bidi w:val="0"/>
        <w:ind w:firstLine="720"/>
        <w:jc w:val="start"/>
        <w:rPr>
          <w:b/>
          <w:u w:val="double"/>
        </w:rPr>
      </w:pPr>
      <w:r>
        <w:rPr>
          <w:b/>
          <w:u w:val="double"/>
        </w:rPr>
      </w:r>
    </w:p>
    <w:p>
      <w:pPr>
        <w:pStyle w:val="Normal"/>
        <w:widowControl/>
        <w:bidi w:val="0"/>
        <w:ind w:firstLine="720"/>
        <w:jc w:val="start"/>
        <w:rPr>
          <w:b/>
          <w:u w:val="double"/>
        </w:rPr>
      </w:pPr>
      <w:r>
        <w:rPr>
          <w:b/>
          <w:u w:val="double"/>
        </w:rPr>
      </w:r>
    </w:p>
    <w:p>
      <w:pPr>
        <w:pStyle w:val="Normal"/>
        <w:widowControl/>
        <w:bidi w:val="0"/>
        <w:ind w:firstLine="720"/>
        <w:jc w:val="start"/>
        <w:rPr>
          <w:b/>
          <w:u w:val="double"/>
        </w:rPr>
      </w:pPr>
      <w:r>
        <w:rPr>
          <w:b/>
          <w:u w:val="double"/>
        </w:rPr>
        <w:t>-HEADER 2-</w:t>
      </w:r>
    </w:p>
    <w:p>
      <w:pPr>
        <w:pStyle w:val="Normal"/>
        <w:widowControl/>
        <w:bidi w:val="0"/>
        <w:ind w:firstLine="720"/>
        <w:jc w:val="start"/>
        <w:rPr/>
      </w:pPr>
      <w:r>
        <w:rPr>
          <w:b/>
          <w:u w:val="double"/>
        </w:rPr>
        <w:t>2</w:t>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t>------------------ COMPARISON OF FOOTERS ------------------</w:t>
      </w:r>
    </w:p>
    <w:p>
      <w:pPr>
        <w:pStyle w:val="Normal"/>
        <w:widowControl/>
        <w:bidi w:val="0"/>
        <w:ind w:firstLine="720"/>
        <w:jc w:val="start"/>
        <w:rPr/>
      </w:pPr>
      <w:r>
        <w:rPr/>
      </w:r>
    </w:p>
    <w:p>
      <w:pPr>
        <w:pStyle w:val="Normal"/>
        <w:widowControl/>
        <w:bidi w:val="0"/>
        <w:ind w:firstLine="720"/>
        <w:jc w:val="start"/>
        <w:rPr/>
      </w:pPr>
      <w:r>
        <w:rPr/>
        <w:t>-FOOTER 1-</w:t>
      </w:r>
    </w:p>
    <w:p>
      <w:pPr>
        <w:pStyle w:val="Normal"/>
        <w:widowControl/>
        <w:bidi w:val="0"/>
        <w:ind w:firstLine="720"/>
        <w:jc w:val="start"/>
        <w:rPr>
          <w:b/>
          <w:u w:val="double"/>
        </w:rPr>
      </w:pPr>
      <w:r>
        <w:rPr/>
        <w:t>NY3:#</w:t>
      </w:r>
      <w:r>
        <w:rPr>
          <w:strike/>
        </w:rPr>
        <w:t>[7248893 2]</w:t>
      </w:r>
      <w:r>
        <w:rPr/>
        <w:t xml:space="preserve"> </w:t>
      </w:r>
      <w:r>
        <w:rPr>
          <w:b/>
          <w:u w:val="double"/>
        </w:rPr>
        <w:t xml:space="preserve">7248893v3 </w:t>
      </w:r>
    </w:p>
    <w:p>
      <w:pPr>
        <w:pStyle w:val="Normal"/>
        <w:widowControl/>
        <w:bidi w:val="0"/>
        <w:ind w:firstLine="720"/>
        <w:jc w:val="start"/>
        <w:rPr>
          <w:b/>
          <w:u w:val="double"/>
        </w:rPr>
      </w:pPr>
      <w:r>
        <w:rPr>
          <w:b/>
          <w:u w:val="double"/>
        </w:rPr>
      </w:r>
    </w:p>
    <w:p>
      <w:pPr>
        <w:pStyle w:val="Normal"/>
        <w:widowControl/>
        <w:bidi w:val="0"/>
        <w:ind w:firstLine="720"/>
        <w:jc w:val="start"/>
        <w:rPr/>
      </w:pPr>
      <w:r>
        <w:rPr>
          <w:b/>
          <w:u w:val="double"/>
        </w:rPr>
        <w:t>AMENDMENT NO. 1</w:t>
      </w:r>
    </w:p>
    <w:p>
      <w:pPr>
        <w:pStyle w:val="Normal"/>
        <w:widowControl/>
        <w:bidi w:val="0"/>
        <w:ind w:firstLine="720"/>
        <w:jc w:val="start"/>
        <w:rPr/>
      </w:pPr>
      <w:r>
        <w:rPr/>
      </w:r>
    </w:p>
    <w:p>
      <w:pPr>
        <w:pStyle w:val="Normal"/>
        <w:widowControl/>
        <w:bidi w:val="0"/>
        <w:ind w:firstLine="720"/>
        <w:jc w:val="start"/>
        <w:rPr/>
      </w:pPr>
      <w:r>
        <w:rPr/>
        <w:t>-FOOTER 2-</w:t>
      </w:r>
    </w:p>
    <w:p>
      <w:pPr>
        <w:pStyle w:val="Normal"/>
        <w:widowControl/>
        <w:bidi w:val="0"/>
        <w:ind w:firstLine="720"/>
        <w:jc w:val="start"/>
        <w:rPr>
          <w:b/>
          <w:u w:val="double"/>
        </w:rPr>
      </w:pPr>
      <w:r>
        <w:rPr/>
        <w:t>NY3:#</w:t>
      </w:r>
      <w:r>
        <w:rPr>
          <w:strike/>
        </w:rPr>
        <w:t>[7248893]</w:t>
      </w:r>
      <w:r>
        <w:rPr/>
        <w:t xml:space="preserve"> </w:t>
      </w:r>
      <w:r>
        <w:rPr>
          <w:b/>
          <w:u w:val="double"/>
        </w:rPr>
        <w:t>7248893v3</w:t>
      </w:r>
    </w:p>
    <w:p>
      <w:pPr>
        <w:pStyle w:val="Normal"/>
        <w:widowControl/>
        <w:bidi w:val="0"/>
        <w:ind w:firstLine="720"/>
        <w:jc w:val="start"/>
        <w:rPr/>
      </w:pPr>
      <w:r>
        <w:rPr>
          <w:b/>
          <w:u w:val="double"/>
        </w:rPr>
        <w:t>AMENDMENT NO. 1</w:t>
      </w:r>
      <w:r>
        <w:rPr/>
        <w:t xml:space="preserve"> </w:t>
      </w:r>
    </w:p>
    <w:p>
      <w:pPr>
        <w:pStyle w:val="Normal"/>
        <w:widowControl/>
        <w:bidi w:val="0"/>
        <w:ind w:firstLine="720"/>
        <w:jc w:val="start"/>
        <w:rPr/>
      </w:pPr>
      <w:r>
        <w:rPr/>
        <w:t>A</w:t>
      </w:r>
    </w:p>
    <w:p>
      <w:pPr>
        <w:pStyle w:val="Normal"/>
        <w:widowControl/>
        <w:bidi w:val="0"/>
        <w:ind w:firstLine="720"/>
        <w:jc w:val="start"/>
        <w:rPr/>
      </w:pPr>
      <w:r>
        <w:rPr/>
      </w:r>
    </w:p>
    <w:p>
      <w:pPr>
        <w:pStyle w:val="Normal"/>
        <w:widowControl/>
        <w:bidi w:val="0"/>
        <w:ind w:firstLine="720"/>
        <w:jc w:val="start"/>
        <w:rPr/>
      </w:pPr>
      <w:r>
        <w:rPr/>
        <w:t xml:space="preserve">This redlined draft, generated by CompareRite (TM) - The Instant Redliner, shows the differences between - </w:t>
      </w:r>
    </w:p>
    <w:p>
      <w:pPr>
        <w:pStyle w:val="Normal"/>
        <w:widowControl/>
        <w:bidi w:val="0"/>
        <w:ind w:firstLine="720"/>
        <w:jc w:val="start"/>
        <w:rPr/>
      </w:pPr>
      <w:r>
        <w:rPr/>
        <w:t>original document      : F:\DOCS\NY3\MDUNN1\AGRMNT\4BD@501!.DOC</w:t>
      </w:r>
    </w:p>
    <w:p>
      <w:pPr>
        <w:pStyle w:val="Normal"/>
        <w:widowControl/>
        <w:bidi w:val="0"/>
        <w:ind w:firstLine="720"/>
        <w:jc w:val="start"/>
        <w:rPr/>
      </w:pPr>
      <w:r>
        <w:rPr/>
        <w:t>and revised document: F:\DOCS\NY3\MDUNN1\AGRMNT\4BD@503!.DOC</w:t>
      </w:r>
    </w:p>
    <w:p>
      <w:pPr>
        <w:pStyle w:val="Normal"/>
        <w:widowControl/>
        <w:bidi w:val="0"/>
        <w:ind w:firstLine="720"/>
        <w:jc w:val="start"/>
        <w:rPr/>
      </w:pPr>
      <w:r>
        <w:rPr/>
      </w:r>
    </w:p>
    <w:p>
      <w:pPr>
        <w:pStyle w:val="Normal"/>
        <w:widowControl/>
        <w:bidi w:val="0"/>
        <w:ind w:firstLine="720"/>
        <w:jc w:val="start"/>
        <w:rPr/>
      </w:pPr>
      <w:r>
        <w:rPr/>
        <w:t>CompareRite found        7 change(s) in the text</w:t>
      </w:r>
    </w:p>
    <w:p>
      <w:pPr>
        <w:pStyle w:val="Normal"/>
        <w:widowControl/>
        <w:bidi w:val="0"/>
        <w:ind w:firstLine="720"/>
        <w:jc w:val="start"/>
        <w:rPr/>
      </w:pPr>
      <w:r>
        <w:rPr/>
        <w:t>CompareRite found        3 change(s) in the notes</w:t>
      </w:r>
    </w:p>
    <w:p>
      <w:pPr>
        <w:pStyle w:val="Normal"/>
        <w:widowControl/>
        <w:bidi w:val="0"/>
        <w:ind w:firstLine="720"/>
        <w:jc w:val="start"/>
        <w:rPr/>
      </w:pPr>
      <w:r>
        <w:rPr/>
      </w:r>
    </w:p>
    <w:p>
      <w:pPr>
        <w:pStyle w:val="Normal"/>
        <w:widowControl/>
        <w:bidi w:val="0"/>
        <w:ind w:firstLine="720"/>
        <w:jc w:val="start"/>
        <w:rPr/>
      </w:pPr>
      <w:r>
        <w:rPr/>
        <w:t>Deletions appear as Overstrike text surrounded by []</w:t>
      </w:r>
    </w:p>
    <w:p>
      <w:pPr>
        <w:pStyle w:val="Normal"/>
        <w:widowControl/>
        <w:bidi w:val="0"/>
        <w:ind w:firstLine="720"/>
        <w:jc w:val="start"/>
        <w:rPr/>
      </w:pPr>
      <w:r>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EngravrsRoman B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Style w:val="PageNumber"/>
        <w:rFonts w:ascii="Times New Roman" w:hAnsi="Times New Roman"/>
        <w:sz w:val="24"/>
      </w:rPr>
    </w:pPr>
    <w:r>
      <w:rPr>
        <w:rStyle w:val="zzmpTrailerItem"/>
      </w:rPr>
      <w:t>NY3:#7248893v3</w:t>
    </w:r>
    <w:r>
      <w:rPr>
        <w:rStyle w:val="PageNumber"/>
        <w:sz w:val="24"/>
      </w:rPr>
      <w:tab/>
    </w:r>
  </w:p>
  <w:p>
    <w:pPr>
      <w:pStyle w:val="Footer"/>
      <w:widowControl/>
      <w:bidi w:val="0"/>
      <w:spacing w:lineRule="exact" w:line="200"/>
      <w:jc w:val="start"/>
      <w:rPr>
        <w:rStyle w:val="PageNumber"/>
        <w:rFonts w:ascii="Times New Roman" w:hAnsi="Times New Roman"/>
        <w:sz w:val="24"/>
      </w:rPr>
    </w:pPr>
    <w:r>
      <w:rPr>
        <w:sz w:val="24"/>
      </w:rPr>
    </w:r>
  </w:p>
  <w:p>
    <w:pPr>
      <w:pStyle w:val="Footer"/>
      <w:widowControl/>
      <w:bidi w:val="0"/>
      <w:spacing w:lineRule="exact" w:line="200"/>
      <w:jc w:val="start"/>
      <w:rPr>
        <w:rFonts w:ascii="Times New Roman" w:hAnsi="Times New Roman"/>
      </w:rPr>
    </w:pPr>
    <w:r>
      <w:rPr>
        <w:rStyle w:val="PageNumber"/>
        <w:sz w:val="24"/>
      </w:rPr>
      <w:tab/>
    </w:r>
    <w:r>
      <w:rPr>
        <w:b/>
      </w:rPr>
      <w:t>A</w:t>
    </w:r>
    <w:r>
      <w:rPr>
        <w:b/>
        <w:sz w:val="16"/>
      </w:rPr>
      <w:t>MENDMENT</w:t>
    </w:r>
    <w:r>
      <w:rPr>
        <w:b/>
      </w:rPr>
      <w:t xml:space="preserve"> N</w:t>
    </w:r>
    <w:r>
      <w:rPr>
        <w:b/>
        <w:sz w:val="16"/>
      </w:rPr>
      <w:t>O</w:t>
    </w:r>
    <w:r>
      <w:rPr>
        <w:b/>
      </w:rPr>
      <w:t>.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Style w:val="zzmpTrailerItem"/>
        <w:rFonts w:ascii="Times New Roman" w:hAnsi="Times New Roman"/>
      </w:rPr>
    </w:pPr>
    <w:r>
      <w:rPr>
        <w:rStyle w:val="zzmpTrailerItem"/>
      </w:rPr>
      <w:t>NY3:#7248893v3</w:t>
    </w:r>
  </w:p>
  <w:p>
    <w:pPr>
      <w:pStyle w:val="Footer"/>
      <w:widowControl/>
      <w:bidi w:val="0"/>
      <w:spacing w:lineRule="exact" w:line="200"/>
      <w:jc w:val="start"/>
      <w:rPr>
        <w:rFonts w:ascii="Times New Roman" w:hAnsi="Times New Roman"/>
        <w:b/>
      </w:rPr>
    </w:pPr>
    <w:r>
      <w:rPr/>
      <w:tab/>
    </w:r>
    <w:r>
      <w:rPr>
        <w:b/>
      </w:rPr>
      <w:t>A</w:t>
    </w:r>
    <w:r>
      <w:rPr>
        <w:b/>
        <w:sz w:val="16"/>
      </w:rPr>
      <w:t>MENDMENT</w:t>
    </w:r>
    <w:r>
      <w:rPr>
        <w:b/>
      </w:rPr>
      <w:t xml:space="preserve"> N</w:t>
    </w:r>
    <w:r>
      <w:rPr>
        <w:b/>
        <w:sz w:val="16"/>
      </w:rPr>
      <w:t>O</w:t>
    </w:r>
    <w:r>
      <w:rPr>
        <w:b/>
      </w:rPr>
      <w:t>. 1</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TopAndBottom/>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widowControl/>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4</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widowControl/>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4</w:t>
                    </w:r>
                    <w:r>
                      <w:rPr>
                        <w:rStyle w:val="PageNumber"/>
                        <w:lang w:val="en-US"/>
                      </w:rPr>
                      <w:fldChar w:fldCharType="end"/>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zzmpFixedDOC_ID" w:val="H:\#7248893 vRED - Yosemite III - Amendment No. 1 to Delta Note dated 2.23.2000.rt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US" w:eastAsia="zh-CN" w:bidi="hi-IN"/>
    </w:rPr>
  </w:style>
  <w:style w:type="paragraph" w:styleId="Heading1">
    <w:name w:val="heading 1"/>
    <w:basedOn w:val="Normal"/>
    <w:qFormat/>
    <w:pPr>
      <w:keepNext w:val="true"/>
      <w:keepLines/>
      <w:widowControl w:val="false"/>
      <w:spacing w:lineRule="exact" w:line="240" w:before="240" w:after="0"/>
      <w:ind w:hanging="720" w:start="720" w:end="720"/>
    </w:pPr>
    <w:rPr>
      <w:b/>
      <w:caps/>
    </w:rPr>
  </w:style>
  <w:style w:type="paragraph" w:styleId="Heading2">
    <w:name w:val="heading 2"/>
    <w:basedOn w:val="Normal"/>
    <w:qFormat/>
    <w:pPr>
      <w:keepNext w:val="true"/>
      <w:keepLines/>
      <w:widowControl w:val="false"/>
      <w:spacing w:lineRule="exact" w:line="240" w:before="240" w:after="0"/>
      <w:ind w:hanging="720" w:start="1440" w:end="720"/>
    </w:pPr>
    <w:rPr>
      <w:b/>
    </w:rPr>
  </w:style>
  <w:style w:type="paragraph" w:styleId="Heading3">
    <w:name w:val="heading 3"/>
    <w:basedOn w:val="Normal"/>
    <w:qFormat/>
    <w:pPr>
      <w:keepNext w:val="true"/>
      <w:keepLines/>
      <w:widowControl w:val="false"/>
      <w:spacing w:lineRule="exact" w:line="240" w:before="240" w:after="0"/>
      <w:ind w:hanging="720" w:start="2160" w:end="720"/>
    </w:pPr>
    <w:rPr/>
  </w:style>
  <w:style w:type="paragraph" w:styleId="Heading4">
    <w:name w:val="heading 4"/>
    <w:basedOn w:val="Normal"/>
    <w:qFormat/>
    <w:pPr>
      <w:keepNext w:val="true"/>
      <w:keepLines/>
      <w:widowControl w:val="false"/>
      <w:spacing w:lineRule="exact" w:line="240" w:before="240" w:after="0"/>
      <w:ind w:hanging="720" w:start="2880" w:end="720"/>
    </w:pPr>
    <w:rPr/>
  </w:style>
  <w:style w:type="paragraph" w:styleId="Heading5">
    <w:name w:val="heading 5"/>
    <w:basedOn w:val="Normal"/>
    <w:qFormat/>
    <w:pPr>
      <w:keepNext w:val="true"/>
      <w:keepLines/>
      <w:widowControl w:val="false"/>
      <w:spacing w:lineRule="exact" w:line="240" w:before="240" w:after="0"/>
      <w:ind w:hanging="720" w:start="3600" w:end="720"/>
    </w:pPr>
    <w:rPr/>
  </w:style>
  <w:style w:type="paragraph" w:styleId="Heading6">
    <w:name w:val="heading 6"/>
    <w:basedOn w:val="Normal"/>
    <w:qFormat/>
    <w:pPr>
      <w:keepNext w:val="true"/>
      <w:keepLines/>
      <w:widowControl w:val="false"/>
      <w:spacing w:lineRule="exact" w:line="240" w:before="240" w:after="0"/>
      <w:ind w:hanging="720" w:start="4320" w:end="720"/>
    </w:pPr>
    <w:rPr/>
  </w:style>
  <w:style w:type="paragraph" w:styleId="Heading7">
    <w:name w:val="heading 7"/>
    <w:basedOn w:val="Normal"/>
    <w:qFormat/>
    <w:pPr>
      <w:keepNext w:val="true"/>
      <w:keepLines/>
      <w:widowControl w:val="false"/>
      <w:spacing w:lineRule="exact" w:line="240" w:before="240" w:after="0"/>
      <w:ind w:hanging="720" w:start="5040" w:end="720"/>
    </w:pPr>
    <w:rPr/>
  </w:style>
  <w:style w:type="paragraph" w:styleId="Heading8">
    <w:name w:val="heading 8"/>
    <w:basedOn w:val="Normal"/>
    <w:qFormat/>
    <w:pPr>
      <w:keepNext w:val="true"/>
      <w:keepLines/>
      <w:widowControl w:val="false"/>
      <w:spacing w:lineRule="exact" w:line="240" w:before="240" w:after="0"/>
      <w:ind w:hanging="720" w:start="5760" w:end="720"/>
    </w:pPr>
    <w:rPr/>
  </w:style>
  <w:style w:type="paragraph" w:styleId="Heading9">
    <w:name w:val="heading 9"/>
    <w:basedOn w:val="Normal"/>
    <w:qFormat/>
    <w:pPr>
      <w:keepNext w:val="true"/>
      <w:keepLines/>
      <w:widowControl w:val="false"/>
      <w:spacing w:lineRule="exact" w:line="240" w:before="240" w:after="0"/>
      <w:ind w:hanging="720" w:start="6480" w:end="720"/>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ragraphNumber">
    <w:name w:val="ParagraphNumber"/>
    <w:basedOn w:val="DefaultParagraphFont"/>
    <w:qFormat/>
    <w:rPr>
      <w:sz w:val="20"/>
    </w:rPr>
  </w:style>
  <w:style w:type="character" w:styleId="ParaNum">
    <w:name w:val="ParaNum"/>
    <w:basedOn w:val="DefaultParagraphFont"/>
    <w:qFormat/>
    <w:rPr>
      <w:sz w:val="20"/>
    </w:rPr>
  </w:style>
  <w:style w:type="character" w:styleId="zzmpTrailerItem">
    <w:name w:val="zzmpTrailerItem"/>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320" w:leader="none"/>
        <w:tab w:val="right" w:pos="9360" w:leader="none"/>
      </w:tabs>
      <w:spacing w:lineRule="atLeast" w:line="240"/>
    </w:pPr>
    <w:rPr>
      <w:sz w:val="20"/>
    </w:rPr>
  </w:style>
  <w:style w:type="paragraph" w:styleId="BodyText2">
    <w:name w:val="Body Text 2"/>
    <w:basedOn w:val="BodyText"/>
    <w:next w:val="BodyText"/>
    <w:qFormat/>
    <w:pPr>
      <w:widowControl w:val="false"/>
      <w:spacing w:lineRule="auto" w:line="240"/>
      <w:ind w:hanging="0" w:start="720"/>
    </w:pPr>
    <w:rPr/>
  </w:style>
  <w:style w:type="paragraph" w:styleId="LHFirmName">
    <w:name w:val="LH Firm Name"/>
    <w:basedOn w:val="Normal"/>
    <w:qFormat/>
    <w:pPr>
      <w:widowControl w:val="false"/>
      <w:spacing w:before="0" w:after="120"/>
      <w:ind w:hanging="0" w:start="-720"/>
    </w:pPr>
    <w:rPr>
      <w:rFonts w:ascii="EngravrsRoman BT" w:hAnsi="EngravrsRoman BT"/>
      <w:b/>
      <w:spacing w:val="10"/>
      <w:sz w:val="15"/>
    </w:rPr>
  </w:style>
  <w:style w:type="paragraph" w:styleId="BodyTextContinued">
    <w:name w:val="Body Text Continued"/>
    <w:basedOn w:val="BodyText"/>
    <w:next w:val="BodyText"/>
    <w:qFormat/>
    <w:pPr>
      <w:widowControl w:val="false"/>
      <w:spacing w:lineRule="auto" w:line="480"/>
      <w:ind w:hanging="0"/>
    </w:pPr>
    <w:rPr/>
  </w:style>
  <w:style w:type="paragraph" w:styleId="Centered">
    <w:name w:val="Centered"/>
    <w:basedOn w:val="Normal"/>
    <w:next w:val="BodyText"/>
    <w:qFormat/>
    <w:pPr>
      <w:widowControl w:val="false"/>
      <w:spacing w:lineRule="exact" w:line="240" w:before="0" w:after="240"/>
      <w:jc w:val="center"/>
    </w:pPr>
    <w:rPr/>
  </w:style>
  <w:style w:type="paragraph" w:styleId="FootnoteText">
    <w:name w:val="footnote text"/>
    <w:basedOn w:val="Normal"/>
    <w:pPr>
      <w:widowControl w:val="false"/>
    </w:pPr>
    <w:rPr>
      <w:sz w:val="22"/>
    </w:rPr>
  </w:style>
  <w:style w:type="paragraph" w:styleId="HeaderNumbers">
    <w:name w:val="HeaderNumbers"/>
    <w:basedOn w:val="Normal"/>
    <w:qFormat/>
    <w:pPr>
      <w:widowControl w:val="false"/>
      <w:spacing w:lineRule="exact" w:line="480" w:before="720" w:after="0"/>
      <w:ind w:end="144"/>
      <w:jc w:val="end"/>
    </w:pPr>
    <w:rPr/>
  </w:style>
  <w:style w:type="paragraph" w:styleId="LetterClosing">
    <w:name w:val="LetterClosing"/>
    <w:basedOn w:val="Normal"/>
    <w:next w:val="Normal"/>
    <w:qFormat/>
    <w:pPr>
      <w:widowControl w:val="false"/>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kern w:val="2"/>
      <w:sz w:val="18"/>
      <w:szCs w:val="24"/>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EnvelopeAddress">
    <w:name w:val="envelope address"/>
    <w:basedOn w:val="Normal"/>
    <w:pPr>
      <w:widowControl w:val="false"/>
    </w:pPr>
    <w:rPr/>
  </w:style>
  <w:style w:type="paragraph" w:styleId="LetterDate">
    <w:name w:val="Letter Date"/>
    <w:basedOn w:val="Normal"/>
    <w:next w:val="BodyText"/>
    <w:qFormat/>
    <w:pPr>
      <w:widowControl w:val="false"/>
    </w:pPr>
    <w:rPr/>
  </w:style>
  <w:style w:type="paragraph" w:styleId="LeftHeading">
    <w:name w:val="Left Heading"/>
    <w:basedOn w:val="Normal"/>
    <w:next w:val="Normal"/>
    <w:qFormat/>
    <w:pPr>
      <w:widowControl w:val="false"/>
    </w:pPr>
    <w:rPr>
      <w:b/>
    </w:rPr>
  </w:style>
  <w:style w:type="paragraph" w:styleId="IndexHeading">
    <w:name w:val="index heading"/>
    <w:basedOn w:val="Heading"/>
    <w:pPr/>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Lines/>
      <w:widowControl w:val="false"/>
      <w:tabs>
        <w:tab w:val="clear" w:pos="720"/>
        <w:tab w:val="right" w:pos="9288" w:leader="dot"/>
      </w:tabs>
      <w:ind w:hanging="720" w:start="720" w:end="720"/>
    </w:pPr>
    <w:rPr/>
  </w:style>
  <w:style w:type="paragraph" w:styleId="TOC2">
    <w:name w:val="toc 2"/>
    <w:basedOn w:val="Normal"/>
    <w:autoRedefine/>
    <w:pPr>
      <w:keepLines/>
      <w:widowControl w:val="false"/>
      <w:tabs>
        <w:tab w:val="clear" w:pos="720"/>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DeliveryPhrase">
    <w:name w:val="Delivery Phrase"/>
    <w:basedOn w:val="Normal"/>
    <w:next w:val="Normal"/>
    <w:qFormat/>
    <w:pPr>
      <w:widowControl w:val="false"/>
      <w:spacing w:before="240" w:after="0"/>
    </w:pPr>
    <w:rPr>
      <w:b/>
      <w:caps/>
    </w:rPr>
  </w:style>
  <w:style w:type="paragraph" w:styleId="Heading1Para">
    <w:name w:val="Heading1Para"/>
    <w:basedOn w:val="BodyText"/>
    <w:next w:val="BodyText"/>
    <w:qFormat/>
    <w:pPr>
      <w:widowControl w:val="false"/>
      <w:spacing w:lineRule="auto" w:line="240" w:before="0" w:after="240"/>
      <w:ind w:hanging="0"/>
      <w:jc w:val="center"/>
    </w:pPr>
    <w:rPr/>
  </w:style>
  <w:style w:type="paragraph" w:styleId="Heading2Para">
    <w:name w:val="Heading2Para"/>
    <w:basedOn w:val="BodyText"/>
    <w:next w:val="BodyText"/>
    <w:qFormat/>
    <w:pPr>
      <w:widowControl w:val="false"/>
      <w:spacing w:lineRule="auto" w:line="240" w:before="0" w:after="240"/>
      <w:ind w:hanging="0"/>
    </w:pPr>
    <w:rPr/>
  </w:style>
  <w:style w:type="paragraph" w:styleId="Heading3Para">
    <w:name w:val="Heading3Para"/>
    <w:basedOn w:val="BodyText"/>
    <w:next w:val="BodyText"/>
    <w:qFormat/>
    <w:pPr>
      <w:widowControl w:val="false"/>
      <w:spacing w:lineRule="auto" w:line="240" w:before="0" w:after="240"/>
      <w:ind w:firstLine="1440"/>
    </w:pPr>
    <w:rPr/>
  </w:style>
  <w:style w:type="paragraph" w:styleId="Heading4Para">
    <w:name w:val="Heading4Para"/>
    <w:basedOn w:val="BodyText"/>
    <w:next w:val="BodyText"/>
    <w:qFormat/>
    <w:pPr>
      <w:widowControl w:val="false"/>
      <w:spacing w:lineRule="auto" w:line="240" w:before="0" w:after="240"/>
      <w:ind w:firstLine="2160"/>
    </w:pPr>
    <w:rPr/>
  </w:style>
  <w:style w:type="paragraph" w:styleId="Heading5Para">
    <w:name w:val="Heading5Para"/>
    <w:basedOn w:val="BodyText"/>
    <w:next w:val="BodyText"/>
    <w:qFormat/>
    <w:pPr>
      <w:widowControl w:val="false"/>
      <w:spacing w:lineRule="auto" w:line="240" w:before="0" w:after="240"/>
      <w:ind w:firstLine="2880"/>
    </w:pPr>
    <w:rPr/>
  </w:style>
  <w:style w:type="paragraph" w:styleId="Heading6Para">
    <w:name w:val="Heading6Para"/>
    <w:basedOn w:val="BodyText"/>
    <w:next w:val="BodyText"/>
    <w:qFormat/>
    <w:pPr>
      <w:widowControl w:val="false"/>
      <w:spacing w:lineRule="auto" w:line="240" w:before="0" w:after="240"/>
      <w:ind w:firstLine="3600"/>
    </w:pPr>
    <w:rPr/>
  </w:style>
  <w:style w:type="paragraph" w:styleId="Heading7Para">
    <w:name w:val="Heading7Para"/>
    <w:basedOn w:val="BodyText"/>
    <w:next w:val="BodyText"/>
    <w:qFormat/>
    <w:pPr>
      <w:widowControl w:val="false"/>
      <w:spacing w:lineRule="auto" w:line="240" w:before="0" w:after="240"/>
      <w:ind w:firstLine="4320"/>
    </w:pPr>
    <w:rPr/>
  </w:style>
  <w:style w:type="paragraph" w:styleId="Heading8Para">
    <w:name w:val="Heading8Para"/>
    <w:basedOn w:val="BodyText"/>
    <w:next w:val="BodyText"/>
    <w:qFormat/>
    <w:pPr>
      <w:widowControl w:val="false"/>
      <w:spacing w:lineRule="auto" w:line="240" w:before="0" w:after="240"/>
      <w:ind w:firstLine="5040"/>
    </w:pPr>
    <w:rPr/>
  </w:style>
  <w:style w:type="paragraph" w:styleId="Heading9Para">
    <w:name w:val="Heading9Para"/>
    <w:basedOn w:val="BodyText"/>
    <w:next w:val="BodyText"/>
    <w:qFormat/>
    <w:pPr>
      <w:widowControl w:val="false"/>
      <w:spacing w:lineRule="auto" w:line="240" w:before="0" w:after="240"/>
      <w:ind w:firstLine="5760"/>
    </w:pPr>
    <w:rPr/>
  </w:style>
  <w:style w:type="paragraph" w:styleId="SDP">
    <w:name w:val="SDP"/>
    <w:basedOn w:val="Normal"/>
    <w:next w:val="Normal"/>
    <w:qFormat/>
    <w:pPr>
      <w:widowControl w:val="false"/>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Legal3L1">
    <w:name w:val="Legal3_L1"/>
    <w:basedOn w:val="Normal"/>
    <w:next w:val="Normal"/>
    <w:qFormat/>
    <w:pPr>
      <w:widowControl w:val="false"/>
      <w:tabs>
        <w:tab w:val="clear" w:pos="720"/>
        <w:tab w:val="left" w:pos="360" w:leader="none"/>
      </w:tabs>
      <w:spacing w:before="0" w:after="240"/>
    </w:pPr>
    <w:rPr/>
  </w:style>
  <w:style w:type="paragraph" w:styleId="Legal3L2">
    <w:name w:val="Legal3_L2"/>
    <w:basedOn w:val="Normal"/>
    <w:next w:val="Normal"/>
    <w:qFormat/>
    <w:pPr>
      <w:widowControl w:val="false"/>
      <w:tabs>
        <w:tab w:val="clear" w:pos="720"/>
        <w:tab w:val="left" w:pos="1440" w:leader="none"/>
      </w:tabs>
      <w:spacing w:before="0" w:after="240"/>
      <w:ind w:firstLine="720"/>
    </w:pPr>
    <w:rPr/>
  </w:style>
  <w:style w:type="paragraph" w:styleId="Legal3L3">
    <w:name w:val="Legal3_L3"/>
    <w:basedOn w:val="Normal"/>
    <w:next w:val="Normal"/>
    <w:qFormat/>
    <w:pPr>
      <w:widowControl w:val="false"/>
      <w:tabs>
        <w:tab w:val="clear" w:pos="720"/>
        <w:tab w:val="left" w:pos="2160" w:leader="none"/>
      </w:tabs>
      <w:spacing w:before="0" w:after="240"/>
      <w:ind w:firstLine="1440"/>
    </w:pPr>
    <w:rPr/>
  </w:style>
  <w:style w:type="paragraph" w:styleId="Legal3L4">
    <w:name w:val="Legal3_L4"/>
    <w:basedOn w:val="Normal"/>
    <w:next w:val="Normal"/>
    <w:qFormat/>
    <w:pPr>
      <w:widowControl w:val="false"/>
      <w:tabs>
        <w:tab w:val="clear" w:pos="720"/>
        <w:tab w:val="left" w:pos="2520" w:leader="none"/>
      </w:tabs>
      <w:spacing w:before="0" w:after="240"/>
      <w:ind w:firstLine="2160"/>
    </w:pPr>
    <w:rPr>
      <w:b/>
    </w:rPr>
  </w:style>
  <w:style w:type="paragraph" w:styleId="Legal3L5">
    <w:name w:val="Legal3_L5"/>
    <w:basedOn w:val="Normal"/>
    <w:next w:val="Normal"/>
    <w:qFormat/>
    <w:pPr>
      <w:widowControl w:val="false"/>
      <w:tabs>
        <w:tab w:val="clear" w:pos="720"/>
        <w:tab w:val="left" w:pos="3600" w:leader="none"/>
      </w:tabs>
      <w:spacing w:before="0" w:after="240"/>
      <w:ind w:firstLine="2880"/>
    </w:pPr>
    <w:rPr/>
  </w:style>
  <w:style w:type="paragraph" w:styleId="Legal3L6">
    <w:name w:val="Legal3_L6"/>
    <w:basedOn w:val="Normal"/>
    <w:next w:val="Normal"/>
    <w:qFormat/>
    <w:pPr>
      <w:widowControl w:val="false"/>
      <w:tabs>
        <w:tab w:val="clear" w:pos="720"/>
        <w:tab w:val="left" w:pos="3960" w:leader="none"/>
      </w:tabs>
      <w:spacing w:before="0" w:after="240"/>
      <w:ind w:firstLine="3600"/>
    </w:pPr>
    <w:rPr/>
  </w:style>
  <w:style w:type="paragraph" w:styleId="Legal3L7">
    <w:name w:val="Legal3_L7"/>
    <w:basedOn w:val="Normal"/>
    <w:next w:val="Normal"/>
    <w:qFormat/>
    <w:pPr>
      <w:widowControl w:val="false"/>
      <w:tabs>
        <w:tab w:val="clear" w:pos="720"/>
        <w:tab w:val="left" w:pos="1080" w:leader="none"/>
      </w:tabs>
      <w:spacing w:before="0" w:after="240"/>
      <w:ind w:firstLine="720"/>
    </w:pPr>
    <w:rPr/>
  </w:style>
  <w:style w:type="paragraph" w:styleId="Legal3L8">
    <w:name w:val="Legal3_L8"/>
    <w:basedOn w:val="Normal"/>
    <w:next w:val="Normal"/>
    <w:qFormat/>
    <w:pPr>
      <w:widowControl w:val="false"/>
      <w:tabs>
        <w:tab w:val="clear" w:pos="720"/>
        <w:tab w:val="left" w:pos="2160" w:leader="none"/>
      </w:tabs>
      <w:spacing w:before="0" w:after="240"/>
      <w:ind w:firstLine="1440"/>
    </w:pPr>
    <w:rPr/>
  </w:style>
  <w:style w:type="paragraph" w:styleId="Legal3L9">
    <w:name w:val="Legal3_L9"/>
    <w:basedOn w:val="Normal"/>
    <w:next w:val="Normal"/>
    <w:qFormat/>
    <w:pPr>
      <w:widowControl w:val="false"/>
      <w:tabs>
        <w:tab w:val="clear" w:pos="720"/>
        <w:tab w:val="left" w:pos="2520" w:leader="none"/>
      </w:tabs>
      <w:spacing w:before="0" w:after="240"/>
      <w:ind w:firstLine="216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948</Words>
  <Characters>6637</Characters>
  <CharactersWithSpaces>5405</CharactersWithSpaces>
  <Company>Milbank, Tweed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2000-08-15T21:12:00Z</dcterms:created>
  <dc:creator>MDunn1</dc:creator>
  <dc:description/>
  <dc:language>en-US</dc:language>
  <cp:lastModifiedBy/>
  <cp:lastPrinted>2000-08-11T18:20:00Z</cp:lastPrinted>
  <dcterms:modified xsi:type="dcterms:W3CDTF">2000-08-15T21:12:00Z</dcterms:modified>
  <cp:revision>2</cp:revision>
  <dc:subject/>
  <dc:title>Word 8.0 Generic Normal Template, rev. 4/1/97, The Legal MacPac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MDunn1</vt:lpwstr>
  </property>
</Properties>
</file>