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252"/>
          <w:tab w:val="clear" w:pos="8504"/>
        </w:tabs>
        <w:snapToGrid w:val="true"/>
        <w:spacing w:lineRule="exact" w:line="28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Yomiuri Shimbun</w:t>
      </w:r>
    </w:p>
    <w:p>
      <w:pPr>
        <w:pStyle w:val="Style12"/>
        <w:spacing w:lineRule="exact" w:line="280"/>
        <w:rPr>
          <w:sz w:val="21"/>
        </w:rPr>
      </w:pPr>
      <w:r>
        <w:rPr>
          <w:sz w:val="21"/>
        </w:rPr>
        <w:t>November 22, 2001</w:t>
      </w:r>
    </w:p>
    <w:p>
      <w:pPr>
        <w:pStyle w:val="Normal"/>
        <w:spacing w:lineRule="exact" w:line="28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Page 8 (morning)</w:t>
      </w:r>
    </w:p>
    <w:p>
      <w:pPr>
        <w:pStyle w:val="Normal"/>
        <w:spacing w:lineRule="exact" w:line="28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Circulation: 10,224,000</w:t>
      </w:r>
    </w:p>
    <w:p>
      <w:pPr>
        <w:pStyle w:val="Style12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Heading1"/>
        <w:ind w:hanging="0" w:start="0"/>
        <w:rPr>
          <w:sz w:val="24"/>
        </w:rPr>
      </w:pPr>
      <w:r>
        <w:rPr/>
        <w:t>The Japanese unit of U.S. energy giant Enron decides to scale down its operations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/>
          <w:sz w:val="22"/>
        </w:rPr>
        <w:t>Yomiuri Shimbun</w:t>
      </w:r>
      <w:r>
        <w:rPr>
          <w:rFonts w:cs="Times New Roman" w:ascii="Times New Roman" w:hAnsi="Times New Roman"/>
          <w:sz w:val="22"/>
        </w:rPr>
        <w:t xml:space="preserve"> learned on </w:t>
      </w:r>
      <w:r>
        <w:rPr>
          <w:rFonts w:cs="Times New Roman" w:ascii="Times New Roman" w:hAnsi="Times New Roman"/>
          <w:sz w:val="22"/>
        </w:rPr>
        <w:t>November</w:t>
      </w:r>
      <w:r>
        <w:rPr>
          <w:rFonts w:cs="Times New Roman" w:ascii="Times New Roman" w:hAnsi="Times New Roman"/>
          <w:sz w:val="22"/>
        </w:rPr>
        <w:t xml:space="preserve"> 21 that Enron Japan Corp. (head office: Tokyo), a Japanese subsidiary of Enron Corp., a major energy company in </w:t>
      </w:r>
      <w:r>
        <w:rPr>
          <w:rFonts w:cs="Times New Roman" w:ascii="Times New Roman" w:hAnsi="Times New Roman"/>
          <w:sz w:val="22"/>
        </w:rPr>
        <w:t>the</w:t>
      </w:r>
      <w:r>
        <w:rPr>
          <w:rFonts w:cs="Times New Roman" w:ascii="Times New Roman" w:hAnsi="Times New Roman"/>
          <w:sz w:val="22"/>
        </w:rPr>
        <w:t xml:space="preserve"> United States, had decided to scale back its operations to a large extent.  </w:t>
      </w:r>
      <w:r>
        <w:rPr>
          <w:rFonts w:cs="Times New Roman" w:ascii="Times New Roman" w:hAnsi="Times New Roman"/>
          <w:sz w:val="22"/>
        </w:rPr>
        <w:t>The</w:t>
      </w:r>
      <w:r>
        <w:rPr>
          <w:rFonts w:cs="Times New Roman" w:ascii="Times New Roman" w:hAnsi="Times New Roman"/>
          <w:sz w:val="22"/>
        </w:rPr>
        <w:t xml:space="preserve"> company also considers possible withdrawal from the Japanese market.</w:t>
      </w:r>
    </w:p>
    <w:p>
      <w:pPr>
        <w:pStyle w:val="Normal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2"/>
        </w:rPr>
        <w:t xml:space="preserve">Enron suffered huge loss due to off-balance-sheet transactions in </w:t>
      </w:r>
      <w:r>
        <w:rPr>
          <w:rFonts w:cs="Times New Roman" w:ascii="Times New Roman" w:hAnsi="Times New Roman"/>
          <w:sz w:val="22"/>
        </w:rPr>
        <w:t>the</w:t>
      </w:r>
      <w:r>
        <w:rPr>
          <w:rFonts w:cs="Times New Roman" w:ascii="Times New Roman" w:hAnsi="Times New Roman"/>
          <w:sz w:val="22"/>
        </w:rPr>
        <w:t xml:space="preserve"> United States.  It has begun streamlining unprofitable businesses since it agreed to be taken over by the rival company Dynegy Inc.</w:t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entury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84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Century" w:hAnsi="Century" w:eastAsia="ＭＳ 明朝" w:cs="Century"/>
      <w:color w:val="auto"/>
      <w:kern w:val="2"/>
      <w:sz w:val="21"/>
      <w:szCs w:val="24"/>
      <w:lang w:val="en-US" w:eastAsia="ja-JP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Times New Roman" w:hAnsi="Times New Roman" w:cs="Times New Roman"/>
      <w:b/>
      <w:sz w:val="22"/>
    </w:rPr>
  </w:style>
  <w:style w:type="paragraph" w:styleId="Heading2">
    <w:name w:val="heading 2"/>
    <w:basedOn w:val="Normal"/>
    <w:next w:val="Style13"/>
    <w:qFormat/>
    <w:pPr>
      <w:keepNext w:val="true"/>
      <w:numPr>
        <w:ilvl w:val="1"/>
        <w:numId w:val="1"/>
      </w:numPr>
      <w:spacing w:lineRule="exact" w:line="320"/>
      <w:jc w:val="center"/>
      <w:outlineLvl w:val="1"/>
    </w:pPr>
    <w:rPr>
      <w:rFonts w:ascii="Times New Roman" w:hAnsi="Times New Roman" w:cs="Times New Roman"/>
      <w:b/>
      <w:sz w:val="25"/>
    </w:rPr>
  </w:style>
  <w:style w:type="paragraph" w:styleId="Heading3">
    <w:name w:val="heading 3"/>
    <w:basedOn w:val="Normal"/>
    <w:next w:val="Style13"/>
    <w:qFormat/>
    <w:pPr>
      <w:keepNext w:val="true"/>
      <w:numPr>
        <w:ilvl w:val="2"/>
        <w:numId w:val="1"/>
      </w:numPr>
      <w:outlineLvl w:val="2"/>
    </w:pPr>
    <w:rPr>
      <w:rFonts w:ascii="Times New Roman" w:hAnsi="Times New Roman" w:cs="Times New Roman"/>
      <w:sz w:val="22"/>
      <w:u w:val="single"/>
    </w:rPr>
  </w:style>
  <w:style w:type="character" w:styleId="Style11">
    <w:name w:val="段落ﾌｫﾝﾄ"/>
    <w:qFormat/>
    <w:rPr/>
  </w:style>
  <w:style w:type="character" w:styleId="PageNumber">
    <w:name w:val="page number"/>
    <w:basedOn w:val="Style11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Times New Roman" w:hAnsi="Times New Roman" w:cs="Times New Roman"/>
      <w:i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84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12">
    <w:name w:val="日付"/>
    <w:basedOn w:val="Normal"/>
    <w:next w:val="Normal"/>
    <w:qFormat/>
    <w:pPr/>
    <w:rPr>
      <w:rFonts w:ascii="Times New Roman" w:hAnsi="Times New Roman" w:cs="Times New Roman"/>
      <w:sz w:val="24"/>
    </w:rPr>
  </w:style>
  <w:style w:type="paragraph" w:styleId="Style13">
    <w:name w:val="標準ｲﾝﾃﾞﾝﾄ"/>
    <w:basedOn w:val="Normal"/>
    <w:qFormat/>
    <w:pPr>
      <w:ind w:hanging="0" w:start="851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650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2000-12-26T05:31:00Z</dcterms:created>
  <dc:creator>Daphne</dc:creator>
  <dc:description/>
  <dc:language>en-CA</dc:language>
  <cp:lastModifiedBy>IRJ PR Services</cp:lastModifiedBy>
  <cp:lastPrinted>2001-11-22T17:04:00Z</cp:lastPrinted>
  <dcterms:modified xsi:type="dcterms:W3CDTF">2001-11-22T05:41:00Z</dcterms:modified>
  <cp:revision>119</cp:revision>
  <dc:subject/>
  <dc:title>3 times more of electricity expense, blackout alarm </dc:title>
</cp:coreProperties>
</file>