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bin" ContentType="application/vnd.openxmlformats-officedocument.oleObject"/>
  <Override PartName="/word/embeddings/oleObject3.bin" ContentType="application/vnd.openxmlformats-officedocument.oleObject"/>
  <Override PartName="/word/media/image1.wmf" ContentType="image/x-wmf"/>
  <Override PartName="/word/media/image2.png" ContentType="image/png"/>
  <Override PartName="/word/media/image3.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sz w:val="32"/>
        </w:rPr>
      </w:pPr>
      <w:r>
        <w:rPr>
          <w:b/>
          <w:sz w:val="32"/>
        </w:rPr>
        <w:t>Failed Policy Mix Will Result in a Weaker Yen</w:t>
      </w:r>
    </w:p>
    <w:p>
      <w:pPr>
        <w:pStyle w:val="Normal"/>
        <w:rPr>
          <w:b/>
          <w:sz w:val="22"/>
        </w:rPr>
      </w:pPr>
      <w:r>
        <w:rPr>
          <w:b/>
          <w:sz w:val="22"/>
        </w:rPr>
      </w:r>
    </w:p>
    <w:p>
      <w:pPr>
        <w:pStyle w:val="Heading2"/>
        <w:ind w:hanging="0" w:start="0"/>
        <w:rPr>
          <w:sz w:val="24"/>
          <w:u w:val="single"/>
        </w:rPr>
      </w:pPr>
      <w:r>
        <w:rPr>
          <w:sz w:val="24"/>
          <w:u w:val="single"/>
        </w:rPr>
        <w:t xml:space="preserve">General Outlook for the Japanese Economy </w:t>
      </w:r>
    </w:p>
    <w:p>
      <w:pPr>
        <w:pStyle w:val="Normal"/>
        <w:rPr>
          <w:sz w:val="22"/>
          <w:u w:val="single"/>
        </w:rPr>
      </w:pPr>
      <w:r>
        <w:rPr>
          <w:sz w:val="22"/>
          <w:u w:val="single"/>
        </w:rPr>
      </w:r>
    </w:p>
    <w:p>
      <w:pPr>
        <w:pStyle w:val="BodyText"/>
        <w:rPr/>
      </w:pPr>
      <w:r>
        <w:rPr/>
        <w:t xml:space="preserve">A decade of economic malaise, a frail banking system saddled with huge amounts of non-performing loans, and a series of large government spending programs that have failed to strengthen the economy but instead built up a large public sector debt all serve to undermine the economic outlook for Japan. Throughout the 1990s, Japan recorded an anemic 1.2 percent annual average GDP growth rate. </w:t>
      </w:r>
      <w:r>
        <w:rPr>
          <w:color w:val="FF0000"/>
        </w:rPr>
        <w:t xml:space="preserve">  </w:t>
      </w:r>
      <w:r>
        <w:rPr/>
        <w:t>By contrast,</w:t>
      </w:r>
      <w:r>
        <w:rPr>
          <w:color w:val="FF0000"/>
        </w:rPr>
        <w:t xml:space="preserve"> </w:t>
      </w:r>
      <w:r>
        <w:rPr/>
        <w:t>Japan’s economic growth rate throughout the 1980s averaged between 4.0 to 7.5 percent.  Japan’s dysfunctional banking system is in a weak financial condition brought on by falling asset values and slumping corporate profits, which have prevented the banks from increasing domestic credit to the cash-strapped corporate sector.  Several fiscal stimulus packages that have failed to boost economic growth have accumulated into huge government debt ratios.   Over the past decade, Japan has spent Y128,000 ($1,075 billion) trying to jump start the economy while building up US$5.6 trillion of public sector debt, or 130 percent of Japanese GDP, the highest ratio in the industrialized world and far in excess of the 60 percent fiscal prudence level as defined by the Maastricht criteria.  As a result of huge national debt levels and the government’s protracted approach to structural reform, Japan lost its “AAA” credit rating in February 2001.  Weak U.S. demand and the slowdown in the global electronics industry sector will also weigh heavily on Japan’s economic outlook.  The Ministry of Finance and the Bank of Japan (BOJ), the country’s central bank, have been at odds over the remedies needed to spur investment and consumer spending.  Since fiscal policy (government stimulus packages focused more on improvement of public works than on increasing bank lending and consumer spending) and monetary policy (zero interest rates) have failed to revive the beleaguered economy, Japan has one tool left in its arsenal to arrest the downturn in the economy: the yen</w:t>
      </w:r>
      <w:r>
        <w:rPr>
          <w:b/>
        </w:rPr>
        <w:t>.</w:t>
      </w:r>
      <w:r>
        <w:rPr/>
        <w:t xml:space="preserve"> </w:t>
      </w:r>
    </w:p>
    <w:p>
      <w:pPr>
        <w:pStyle w:val="Normal"/>
        <w:rPr>
          <w:sz w:val="22"/>
        </w:rPr>
      </w:pPr>
      <w:r>
        <w:rPr>
          <w:sz w:val="22"/>
        </w:rPr>
      </w:r>
    </w:p>
    <w:p>
      <w:pPr>
        <w:pStyle w:val="Heading2"/>
        <w:ind w:hanging="0" w:start="0"/>
        <w:rPr>
          <w:sz w:val="24"/>
          <w:u w:val="single"/>
        </w:rPr>
      </w:pPr>
      <w:r>
        <w:rPr>
          <w:sz w:val="24"/>
          <w:u w:val="single"/>
        </w:rPr>
        <w:t>Current Fiscal and Monetary Policy Changes Announced</w:t>
      </w:r>
    </w:p>
    <w:p>
      <w:pPr>
        <w:pStyle w:val="Normal"/>
        <w:rPr>
          <w:sz w:val="22"/>
          <w:u w:val="single"/>
        </w:rPr>
      </w:pPr>
      <w:r>
        <w:rPr>
          <w:sz w:val="22"/>
          <w:u w:val="single"/>
        </w:rPr>
      </w:r>
    </w:p>
    <w:p>
      <w:pPr>
        <w:pStyle w:val="Normal"/>
        <w:rPr/>
      </w:pPr>
      <w:r>
        <w:rPr>
          <w:sz w:val="22"/>
        </w:rPr>
        <w:t>A recovery in Japan hinges on the government’s ability to defeat deflationary pressures in the economy and strengthen its very weak banking system. Deflation hurts borrowing costs by raising real interest rates and is not healthy for sustained periods because consumers postpone purchases and wait for lower prices.  This starts a vicious circle as falling prices weaken demand and weaker demand puts downward pressure on prices, which then translates into further weaker demand.  Last August, Japan abandoned its zero interest rate policy (ZIRP) under the assumption that economic recovery was underway.  However, last week the BOJ implicitly reinstated the ZIRP to combat deflation (Japanese real estate values fell for a record 10</w:t>
      </w:r>
      <w:r>
        <w:rPr>
          <w:sz w:val="22"/>
          <w:vertAlign w:val="superscript"/>
        </w:rPr>
        <w:t>th</w:t>
      </w:r>
      <w:r>
        <w:rPr>
          <w:sz w:val="22"/>
        </w:rPr>
        <w:t xml:space="preserve"> year last year) and a weak economy by injecting liquidity directly into the ailing Japanese economy.  Rather than targeting the interest rate directly, the BOJ will buy bonds (either in the market or directly from banks) which injects cash directly into an economy that has been failed by the dysfunctional banking system.  The central bank has said that measures will be in place until the consumer price index is stable at zero percent or registers an increase year-on-year. </w:t>
      </w:r>
    </w:p>
    <w:p>
      <w:pPr>
        <w:pStyle w:val="Normal"/>
        <w:rPr>
          <w:sz w:val="22"/>
        </w:rPr>
      </w:pPr>
      <w:r>
        <w:rPr>
          <w:sz w:val="22"/>
        </w:rPr>
      </w:r>
    </w:p>
    <w:p>
      <w:pPr>
        <w:pStyle w:val="Normal"/>
        <w:rPr>
          <w:sz w:val="22"/>
        </w:rPr>
      </w:pPr>
      <w:r>
        <w:rPr>
          <w:sz w:val="22"/>
        </w:rPr>
        <w:t xml:space="preserve">Japan’s latest emergency support package (announced mid-March 2001), which includes measures to assist the ailing financial system and tax cuts, has fallen short of expectations.  One new measure calls for Japanese banks to transfer shares they hold in other companies, which currently are worth Y32 trillion ($267.7 billion) to a privately funded purchasing organization.  The purpose of the transfer of volatile stocks is to improve bank’s balance sheets without further depressing an already weak stock market.  This transfer of equity would alleviate the bank’s financial soundness from being tied to the stock market.   This is especially important since starting April 1, banks will need to mark to market their books and any losses due to plummeting stock prices would have to be written off of their capital bases.  Other proposals included measures to dispose of bad loans more quickly and to boost the attractiveness of equities through various tax reduction measures.  </w:t>
      </w:r>
    </w:p>
    <w:p>
      <w:pPr>
        <w:pStyle w:val="Normal"/>
        <w:rPr>
          <w:sz w:val="22"/>
        </w:rPr>
      </w:pPr>
      <w:r>
        <w:rPr>
          <w:sz w:val="22"/>
        </w:rPr>
      </w:r>
    </w:p>
    <w:p>
      <w:pPr>
        <w:pStyle w:val="Normal"/>
        <w:rPr>
          <w:sz w:val="22"/>
        </w:rPr>
      </w:pPr>
      <w:r>
        <w:rPr>
          <w:sz w:val="22"/>
        </w:rPr>
        <w:t xml:space="preserve">New banking laws in Japan could address the bad loan problem but are likely to weaken the economy further.  On February 22, 2001, Japanese regulators announced they would push banks to get bad loans off their balance sheets.  The financial affairs ministry plans to announce stringent measures in which banks will be required to write off NPLs by March 2002 rather than set aside loan loss provisions.  Unlike its move in 1998 and 1999 to inject capital directly to bail out the banks, the government has offered no support during this very aggressive timeframe.  This could drive up corporate bankruptcies, widen banks’ reported losses and further weaken Japan’s fragile economy.  </w:t>
      </w:r>
    </w:p>
    <w:p>
      <w:pPr>
        <w:pStyle w:val="Normal"/>
        <w:rPr>
          <w:sz w:val="22"/>
        </w:rPr>
      </w:pPr>
      <w:r>
        <w:rPr>
          <w:sz w:val="22"/>
        </w:rPr>
      </w:r>
    </w:p>
    <w:p>
      <w:pPr>
        <w:pStyle w:val="Normal"/>
        <w:rPr/>
      </w:pPr>
      <w:r>
        <w:rPr>
          <w:sz w:val="22"/>
        </w:rPr>
        <w:t xml:space="preserve">Tankan survey results </w:t>
      </w:r>
      <w:r>
        <w:rPr/>
        <w:t>lend i</w:t>
      </w:r>
      <w:r>
        <w:rPr>
          <w:sz w:val="22"/>
        </w:rPr>
        <w:t xml:space="preserve">mportant insights into the outlook for the Japanese economy in 2001. </w:t>
      </w:r>
      <w:r>
        <w:rPr/>
        <w:t xml:space="preserve"> Results in March 2001 reveal a continued stagnation of the Japanese economy, especially in the manufacturing sector, as business conditions for Japan Inc. have deteriorated sharply across a broad range of industries.  The sales and current profits .  </w:t>
      </w:r>
      <w:r>
        <w:rPr>
          <w:sz w:val="22"/>
        </w:rPr>
        <w:t>related to the business confidence, corporate profits, finance and capital spending plans</w:t>
      </w:r>
      <w:r>
        <w:rPr>
          <w:color w:val="FF0000"/>
          <w:sz w:val="22"/>
        </w:rPr>
        <w:t xml:space="preserve">. </w:t>
      </w:r>
    </w:p>
    <w:p>
      <w:pPr>
        <w:pStyle w:val="Normal"/>
        <w:rPr>
          <w:color w:val="FF0000"/>
          <w:sz w:val="22"/>
        </w:rPr>
      </w:pPr>
      <w:r>
        <w:rPr>
          <w:color w:val="FF0000"/>
          <w:sz w:val="22"/>
        </w:rPr>
      </w:r>
    </w:p>
    <w:p>
      <w:pPr>
        <w:pStyle w:val="Normal"/>
        <w:rPr>
          <w:sz w:val="22"/>
        </w:rPr>
      </w:pPr>
      <w:r>
        <w:rPr>
          <w:sz w:val="22"/>
        </w:rPr>
      </w:r>
    </w:p>
    <w:p>
      <w:pPr>
        <w:pStyle w:val="Heading2"/>
        <w:ind w:hanging="0" w:start="0"/>
        <w:rPr>
          <w:u w:val="single"/>
        </w:rPr>
      </w:pPr>
      <w:r>
        <w:rPr>
          <w:u w:val="single"/>
        </w:rPr>
        <w:t>Yen Outlook over the next 12 Months</w:t>
      </w:r>
    </w:p>
    <w:p>
      <w:pPr>
        <w:pStyle w:val="Normal"/>
        <w:rPr>
          <w:sz w:val="22"/>
          <w:u w:val="single"/>
        </w:rPr>
      </w:pPr>
      <w:r>
        <w:rPr>
          <w:sz w:val="22"/>
          <w:u w:val="single"/>
        </w:rPr>
      </w:r>
    </w:p>
    <w:p>
      <w:pPr>
        <w:pStyle w:val="Normal"/>
        <w:rPr>
          <w:sz w:val="22"/>
        </w:rPr>
      </w:pPr>
      <w:r>
        <w:rPr>
          <w:sz w:val="22"/>
        </w:rPr>
        <w:t xml:space="preserve">In our view, an economic recovery is not imminent in the next 12 months and the risks to the yen are on the downside.  The slow pace of restructuring efforts, the government’s policy paralysis, a dysfunctional banking system, sluggish private demand and troubling external factors such as a slowdown in U.S. demand and in the global electronics sector will in total put downward pressure on the yen over the next 12 months.  The sell-off of Japanese equities is likely to continue until the high-tech sector begins to rebound.  Also, the BOJ and the Ministry of Finance will likely allow the yen to weaken on hopes for an export-led recovery.  However, official comments by financial policymakers suggest that the Japanese government has found the pace at which the yen has weakened to be worrisome.  This implies that the BOJ may intervene to stem the yen’s slippage.  </w:t>
      </w:r>
    </w:p>
    <w:p>
      <w:pPr>
        <w:pStyle w:val="Normal"/>
        <w:rPr>
          <w:sz w:val="22"/>
        </w:rPr>
      </w:pPr>
      <w:r>
        <w:rPr>
          <w:sz w:val="22"/>
        </w:rPr>
      </w:r>
    </w:p>
    <w:p>
      <w:pPr>
        <w:pStyle w:val="Normal"/>
        <w:rPr>
          <w:color w:val="FF0000"/>
          <w:sz w:val="22"/>
        </w:rPr>
      </w:pPr>
      <w:r>
        <w:rPr>
          <w:sz w:val="22"/>
        </w:rPr>
        <w:t>The yen has weakened substantially since late 1999 and most sharply since the BOJ abandoned its zero interest rate policy (ZIRP) in August 2000 (</w:t>
      </w:r>
      <w:r>
        <w:rPr>
          <w:i/>
          <w:sz w:val="22"/>
        </w:rPr>
        <w:t>see Chart 1</w:t>
      </w:r>
      <w:r>
        <w:rPr>
          <w:sz w:val="22"/>
        </w:rPr>
        <w:t xml:space="preserve">).  Yen-dollar has lost 19 percent of its value since the end of 1999 from a high of Y101 on Jan. 3, 2000 to a low of Y126 on April 2, 2001.  From January through August 2000, the yen was range bound at 105-110 Yen/$.  But, in August 2000 the yen started its steady decline, weakening from a high of Y106 in late August 2000 to Y126 this week.  On the assumption that economic recovery was underway, the BOJ abandoned the ZIRP last August, but in the interim, the outlook for the Japanese economy has deteriorated rapidly on slowing domestic demand, deflation, weak balance sheets of the Japanese banks overloaded with non-performing loans and a global economic slowdown.  However, reinstating the ZIRP in the last two weeks has been ineffective in stemming the downturn in the yen while the country teeters on the brink of recession. </w:t>
      </w:r>
    </w:p>
    <w:p>
      <w:pPr>
        <w:pStyle w:val="Normal"/>
        <w:rPr>
          <w:b/>
          <w:color w:val="FF0000"/>
          <w:sz w:val="22"/>
        </w:rPr>
      </w:pPr>
      <w:r>
        <w:rPr>
          <w:b/>
          <w:color w:val="FF0000"/>
          <w:sz w:val="22"/>
        </w:rPr>
      </w:r>
    </w:p>
    <w:p>
      <w:pPr>
        <w:pStyle w:val="Normal"/>
        <w:rPr/>
      </w:pPr>
      <w:r>
        <w:rPr>
          <w:b/>
          <w:sz w:val="22"/>
        </w:rPr>
        <w:t xml:space="preserve">We expect the yen to remain weak.  It will probably level off from its present close of Y124 to Y125 in six months and to Y129 in 12 months (11% depreciation from Jan. 1 2001 level of Y114.35).  We do not expect the yen to breach the Y130 level despite the economy’s weak fundamentals. </w:t>
      </w:r>
      <w:r>
        <w:rPr>
          <w:sz w:val="22"/>
        </w:rPr>
        <w:t xml:space="preserve"> We expect Y130 to be the level at which exporters become price competitive and no longer need to lean on the currency for support. </w:t>
      </w:r>
    </w:p>
    <w:p>
      <w:pPr>
        <w:pStyle w:val="Normal"/>
        <w:rPr>
          <w:color w:val="FF0000"/>
          <w:sz w:val="22"/>
        </w:rPr>
      </w:pPr>
      <w:r>
        <w:rPr>
          <w:color w:val="FF0000"/>
          <w:sz w:val="22"/>
        </w:rPr>
      </w:r>
    </w:p>
    <w:p>
      <w:pPr>
        <w:pStyle w:val="Normal"/>
        <w:rPr>
          <w:color w:val="FF0000"/>
          <w:sz w:val="22"/>
        </w:rPr>
      </w:pPr>
      <w:r>
        <w:rPr>
          <w:color w:val="FF0000"/>
          <w:sz w:val="22"/>
        </w:rPr>
      </w:r>
    </w:p>
    <w:p>
      <w:pPr>
        <w:pStyle w:val="Normal"/>
        <w:rPr>
          <w:color w:val="FF0000"/>
          <w:sz w:val="22"/>
        </w:rPr>
      </w:pPr>
      <w:r>
        <w:rPr>
          <w:color w:val="FF0000"/>
          <w:sz w:val="22"/>
        </w:rPr>
      </w:r>
    </w:p>
    <w:p>
      <w:pPr>
        <w:pStyle w:val="Header"/>
        <w:tabs>
          <w:tab w:val="clear" w:pos="4320"/>
          <w:tab w:val="clear" w:pos="8640"/>
        </w:tabs>
        <w:rPr>
          <w:b/>
          <w:u w:val="single"/>
        </w:rPr>
      </w:pPr>
      <w:r>
        <w:rPr>
          <w:b/>
          <w:u w:val="single"/>
        </w:rPr>
        <w:t>Risks to Forecast</w:t>
      </w:r>
    </w:p>
    <w:p>
      <w:pPr>
        <w:pStyle w:val="Normal"/>
        <w:rPr>
          <w:b/>
          <w:color w:val="FF0000"/>
          <w:sz w:val="22"/>
          <w:u w:val="single"/>
        </w:rPr>
      </w:pPr>
      <w:r>
        <w:rPr>
          <w:b/>
          <w:color w:val="FF0000"/>
          <w:sz w:val="22"/>
          <w:u w:val="single"/>
        </w:rPr>
      </w:r>
    </w:p>
    <w:p>
      <w:pPr>
        <w:pStyle w:val="Normal"/>
        <w:rPr>
          <w:color w:val="FF0000"/>
          <w:sz w:val="22"/>
        </w:rPr>
      </w:pPr>
      <w:r>
        <w:rPr>
          <w:sz w:val="22"/>
        </w:rPr>
        <w:t>Concern surrounding the sheer size of the U.S. current account deficit could soften the U.S. dollar in the near-to-medium term.  The U.S. had to attract a net inflow of $435 billion in 2000 to finance its current account deficit, or roughly 4.4 percent of GDP.   Most of these inflows came from purchases of non-U.S. Treasury securities totaling $338 billion in the first 3 quarters of 2000.  These acquisitions of U.S. stocks and bonds by foreign investors have more than absorbed the cumulative annual current account deficit through September, which totaled $320 billion.  The M&amp;A-related activity and the high-tech sector euphoria, which drove these acquisitions, largely supported the current account deficit last year.  Also, both sources of new funds helped fuel the run-up in the U.S. stock market throughout 2000.  The result has been a strong and resilient U.S. dollar.  Yet, recently foreign funds have been flowing out of U.S. equities with some capital being repatriated and other capital flowing into U.S. government securities as a safe haven due to global financial market instability.  However, the recent steep fall in stock values resulting from unsustainable high P/E multiples, persistent and pervasive profit warnings and slower demand growth make current account sustainability increasingly vulnerable to foreign investor sentiment.  Global M&amp;A activity fell 62 percent in the first quarter to its lowest level in 3 years, according to Thomson financial services.  And, as the U.S. has entered a period of exceptionally slow economic growth while the Fed has embarked on an easing bias that has reduced interest rates more rapidly than other major central banks, interest rate differentials have narrowed, leaving the dollar increasingly susceptible to a shift in capital flows.  Despite all this recent antidotal evidence, the dollar has remained strong globally.  However, as foreign investors re-evaluate their returns from the falling U.S. stock market and as M&amp;A activity dries up, capital inflows supporting the U.S. current account will diminish and the dollar can be expected to soften.</w:t>
      </w:r>
    </w:p>
    <w:p>
      <w:pPr>
        <w:pStyle w:val="Normal"/>
        <w:rPr>
          <w:color w:val="FF0000"/>
          <w:sz w:val="22"/>
        </w:rPr>
      </w:pPr>
      <w:r>
        <w:rPr>
          <w:color w:val="FF0000"/>
          <w:sz w:val="22"/>
        </w:rPr>
      </w:r>
    </w:p>
    <w:p>
      <w:pPr>
        <w:pStyle w:val="Header"/>
        <w:tabs>
          <w:tab w:val="clear" w:pos="4320"/>
          <w:tab w:val="clear" w:pos="8640"/>
        </w:tabs>
        <w:rPr>
          <w:color w:val="FF0000"/>
          <w:sz w:val="22"/>
        </w:rPr>
      </w:pPr>
      <w:r>
        <w:rPr>
          <w:color w:val="FF0000"/>
          <w:sz w:val="22"/>
        </w:rPr>
        <w:object w:dxaOrig="5121" w:dyaOrig="512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93.6pt;margin-top:0.95pt;width:274.55pt;height:255pt;mso-wrap-distance-left:9.05pt;mso-wrap-distance-right:9.05pt;mso-position-horizontal-relative:text;mso-position-vertical-relative:text" filled="f" o:ole="">
            <v:imagedata r:id="rId3" o:title=""/>
            <w10:wrap type="topAndBottom"/>
          </v:shape>
          <o:OLEObject Type="Embed" ProgID="Excel.Sheet.12" ShapeID="ole_rId2" DrawAspect="Content" ObjectID="_592159728" r:id="rId2"/>
        </w:objec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p>
      <w:pPr>
        <w:pStyle w:val="Heading4"/>
        <w:ind w:hanging="0" w:start="0"/>
        <w:rPr>
          <w:i/>
          <w:i/>
          <w:color w:val="auto"/>
          <w:sz w:val="22"/>
        </w:rPr>
      </w:pPr>
      <w:r>
        <w:rPr>
          <w:i/>
          <w:color w:val="auto"/>
          <w:sz w:val="22"/>
        </w:rPr>
      </w:r>
    </w:p>
    <w:p>
      <w:pPr>
        <w:pStyle w:val="Heading4"/>
        <w:ind w:hanging="0" w:start="0"/>
        <w:rPr/>
      </w:pPr>
      <w:r>
        <w:rPr>
          <w:i/>
          <w:color w:val="auto"/>
        </w:rPr>
        <w:t>Chart 2</w:t>
      </w:r>
      <w:r>
        <w:rPr>
          <w:color w:val="auto"/>
        </w:rPr>
        <w:t>: Consensus Forecast</w:t>
      </w:r>
      <w:r>
        <w:rPr/>
        <w:t xml:space="preserve"> </w:t>
      </w:r>
    </w:p>
    <w:p>
      <w:pPr>
        <w:pStyle w:val="Normal"/>
        <w:jc w:val="center"/>
        <w:rPr>
          <w:b/>
          <w:color w:val="FF0000"/>
          <w:sz w:val="22"/>
        </w:rPr>
      </w:pPr>
      <w:r>
        <w:rPr>
          <w:b/>
          <w:color w:val="FF0000"/>
          <w:sz w:val="22"/>
        </w:rPr>
      </w:r>
    </w:p>
    <w:tbl>
      <w:tblPr>
        <w:tblW w:w="5250" w:type="dxa"/>
        <w:jc w:val="start"/>
        <w:tblInd w:w="2160" w:type="dxa"/>
        <w:tblLayout w:type="fixed"/>
        <w:tblCellMar>
          <w:top w:w="0" w:type="dxa"/>
          <w:start w:w="30" w:type="dxa"/>
          <w:bottom w:w="0" w:type="dxa"/>
          <w:end w:w="30" w:type="dxa"/>
        </w:tblCellMar>
      </w:tblPr>
      <w:tblGrid>
        <w:gridCol w:w="1020"/>
        <w:gridCol w:w="1800"/>
        <w:gridCol w:w="810"/>
        <w:gridCol w:w="720"/>
        <w:gridCol w:w="900"/>
      </w:tblGrid>
      <w:tr>
        <w:trPr>
          <w:trHeight w:val="408" w:hRule="atLeast"/>
        </w:trPr>
        <w:tc>
          <w:tcPr>
            <w:tcW w:w="5250" w:type="dxa"/>
            <w:gridSpan w:val="5"/>
            <w:tcBorders>
              <w:top w:val="single" w:sz="6" w:space="0" w:color="000000"/>
              <w:start w:val="single" w:sz="6" w:space="0" w:color="000000"/>
              <w:bottom w:val="single" w:sz="6" w:space="0" w:color="000000"/>
              <w:end w:val="single" w:sz="6" w:space="0" w:color="000000"/>
            </w:tcBorders>
          </w:tcPr>
          <w:p>
            <w:pPr>
              <w:pStyle w:val="Heading1"/>
              <w:ind w:hanging="0" w:start="0"/>
              <w:rPr>
                <w:i w:val="false"/>
                <w:i w:val="false"/>
              </w:rPr>
            </w:pPr>
            <w:r>
              <w:rPr>
                <w:i w:val="false"/>
              </w:rPr>
              <w:t>Japanese Yen Consensus Forecasts</w:t>
            </w:r>
          </w:p>
          <w:p>
            <w:pPr>
              <w:pStyle w:val="Normal"/>
              <w:jc w:val="center"/>
              <w:rPr>
                <w:i/>
                <w:i/>
                <w:sz w:val="18"/>
              </w:rPr>
            </w:pPr>
            <w:r>
              <w:rPr>
                <w:i/>
                <w:sz w:val="18"/>
              </w:rPr>
              <w:t>(Dated March 2001)</w:t>
            </w:r>
          </w:p>
        </w:tc>
      </w:tr>
      <w:tr>
        <w:trPr>
          <w:trHeight w:val="282" w:hRule="atLeast"/>
        </w:trPr>
        <w:tc>
          <w:tcPr>
            <w:tcW w:w="102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rFonts w:ascii="Arial" w:hAnsi="Arial" w:cs="Arial"/>
                <w:b/>
                <w:color w:val="000000"/>
                <w:sz w:val="18"/>
                <w:lang w:eastAsia="en-US"/>
              </w:rPr>
            </w:pPr>
            <w:r>
              <w:rPr>
                <w:rFonts w:cs="Arial" w:ascii="Arial" w:hAnsi="Arial"/>
                <w:b/>
                <w:color w:val="000000"/>
                <w:sz w:val="18"/>
                <w:lang w:eastAsia="en-US"/>
              </w:rPr>
              <w:t>Date</w:t>
            </w:r>
          </w:p>
        </w:tc>
        <w:tc>
          <w:tcPr>
            <w:tcW w:w="180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rFonts w:ascii="Arial" w:hAnsi="Arial" w:cs="Arial"/>
                <w:b/>
                <w:color w:val="000000"/>
                <w:sz w:val="18"/>
                <w:lang w:eastAsia="en-US"/>
              </w:rPr>
            </w:pPr>
            <w:r>
              <w:rPr>
                <w:rFonts w:cs="Arial" w:ascii="Arial" w:hAnsi="Arial"/>
                <w:b/>
                <w:color w:val="000000"/>
                <w:sz w:val="18"/>
                <w:lang w:eastAsia="en-US"/>
              </w:rPr>
              <w:t>Source</w:t>
            </w:r>
          </w:p>
        </w:tc>
        <w:tc>
          <w:tcPr>
            <w:tcW w:w="81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rFonts w:ascii="Arial" w:hAnsi="Arial" w:cs="Arial"/>
                <w:b/>
                <w:color w:val="000000"/>
                <w:sz w:val="18"/>
                <w:lang w:eastAsia="en-US"/>
              </w:rPr>
            </w:pPr>
            <w:r>
              <w:rPr>
                <w:rFonts w:cs="Arial" w:ascii="Arial" w:hAnsi="Arial"/>
                <w:b/>
                <w:color w:val="000000"/>
                <w:sz w:val="18"/>
                <w:lang w:eastAsia="en-US"/>
              </w:rPr>
              <w:t>3-mo</w:t>
            </w:r>
          </w:p>
        </w:tc>
        <w:tc>
          <w:tcPr>
            <w:tcW w:w="72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rFonts w:ascii="Arial" w:hAnsi="Arial" w:cs="Arial"/>
                <w:b/>
                <w:color w:val="000000"/>
                <w:sz w:val="18"/>
                <w:lang w:eastAsia="en-US"/>
              </w:rPr>
            </w:pPr>
            <w:r>
              <w:rPr>
                <w:rFonts w:cs="Arial" w:ascii="Arial" w:hAnsi="Arial"/>
                <w:b/>
                <w:color w:val="000000"/>
                <w:sz w:val="18"/>
                <w:lang w:eastAsia="en-US"/>
              </w:rPr>
              <w:t>6-mo</w:t>
            </w:r>
          </w:p>
        </w:tc>
        <w:tc>
          <w:tcPr>
            <w:tcW w:w="90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rFonts w:ascii="Arial" w:hAnsi="Arial" w:cs="Arial"/>
                <w:b/>
                <w:color w:val="000000"/>
                <w:sz w:val="18"/>
                <w:lang w:eastAsia="en-US"/>
              </w:rPr>
            </w:pPr>
            <w:r>
              <w:rPr>
                <w:rFonts w:cs="Arial" w:ascii="Arial" w:hAnsi="Arial"/>
                <w:b/>
                <w:color w:val="000000"/>
                <w:sz w:val="18"/>
                <w:lang w:eastAsia="en-US"/>
              </w:rPr>
              <w:t>12-mo</w:t>
            </w:r>
          </w:p>
        </w:tc>
      </w:tr>
      <w:tr>
        <w:trPr>
          <w:trHeight w:val="165" w:hRule="atLeast"/>
        </w:trPr>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8"/>
                <w:lang w:eastAsia="en-US"/>
              </w:rPr>
            </w:pPr>
            <w:r>
              <w:rPr>
                <w:rFonts w:cs="Arial" w:ascii="Arial" w:hAnsi="Arial"/>
                <w:i/>
                <w:color w:val="000000"/>
                <w:sz w:val="18"/>
                <w:lang w:eastAsia="en-US"/>
              </w:rPr>
              <w:t>Mar 12 01</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i/>
                <w:i/>
                <w:color w:val="000000"/>
                <w:sz w:val="18"/>
                <w:lang w:eastAsia="en-US"/>
              </w:rPr>
            </w:pPr>
            <w:r>
              <w:rPr>
                <w:rFonts w:cs="Arial" w:ascii="Arial" w:hAnsi="Arial"/>
                <w:b/>
                <w:i/>
                <w:color w:val="000000"/>
                <w:sz w:val="18"/>
                <w:lang w:eastAsia="en-US"/>
              </w:rPr>
              <w:t>Concensus Forecasts (avg)</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8"/>
                <w:lang w:eastAsia="en-US"/>
              </w:rPr>
            </w:pPr>
            <w:r>
              <w:rPr>
                <w:rFonts w:cs="Arial" w:ascii="Arial" w:hAnsi="Arial"/>
                <w:i/>
                <w:color w:val="000000"/>
                <w:sz w:val="18"/>
                <w:lang w:eastAsia="en-US"/>
              </w:rPr>
              <w:t>119.7</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i/>
                <w:i/>
                <w:color w:val="000000"/>
                <w:sz w:val="18"/>
                <w:lang w:eastAsia="en-US"/>
              </w:rPr>
            </w:pPr>
            <w:r>
              <w:rPr>
                <w:rFonts w:cs="Arial" w:ascii="Arial" w:hAnsi="Arial"/>
                <w:i/>
                <w:color w:val="000000"/>
                <w:sz w:val="18"/>
                <w:lang w:eastAsia="en-US"/>
              </w:rPr>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8"/>
                <w:lang w:eastAsia="en-US"/>
              </w:rPr>
            </w:pPr>
            <w:r>
              <w:rPr>
                <w:rFonts w:cs="Arial" w:ascii="Arial" w:hAnsi="Arial"/>
                <w:i/>
                <w:color w:val="000000"/>
                <w:sz w:val="18"/>
                <w:lang w:eastAsia="en-US"/>
              </w:rPr>
              <w:t>117.2</w:t>
            </w:r>
          </w:p>
        </w:tc>
      </w:tr>
      <w:tr>
        <w:trPr>
          <w:trHeight w:val="210" w:hRule="atLeast"/>
        </w:trPr>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Mar 23 01</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18"/>
                <w:lang w:eastAsia="en-US"/>
              </w:rPr>
            </w:pPr>
            <w:r>
              <w:rPr>
                <w:rFonts w:cs="Arial" w:ascii="Arial" w:hAnsi="Arial"/>
                <w:b/>
                <w:color w:val="000000"/>
                <w:sz w:val="18"/>
                <w:lang w:eastAsia="en-US"/>
              </w:rPr>
              <w:t>DRI</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125.75</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120.7</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117.3</w:t>
            </w:r>
          </w:p>
        </w:tc>
      </w:tr>
      <w:tr>
        <w:trPr>
          <w:trHeight w:val="165" w:hRule="atLeast"/>
        </w:trPr>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Mar 23 01</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18"/>
                <w:lang w:eastAsia="en-US"/>
              </w:rPr>
            </w:pPr>
            <w:r>
              <w:rPr>
                <w:rFonts w:cs="Arial" w:ascii="Arial" w:hAnsi="Arial"/>
                <w:b/>
                <w:color w:val="000000"/>
                <w:sz w:val="18"/>
                <w:lang w:eastAsia="en-US"/>
              </w:rPr>
              <w:t>Goldman Sachs</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124</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115</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110</w:t>
            </w:r>
          </w:p>
        </w:tc>
      </w:tr>
      <w:tr>
        <w:trPr>
          <w:trHeight w:val="165" w:hRule="atLeast"/>
        </w:trPr>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Mar 26 01</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18"/>
                <w:lang w:eastAsia="en-US"/>
              </w:rPr>
            </w:pPr>
            <w:r>
              <w:rPr>
                <w:rFonts w:cs="Arial" w:ascii="Arial" w:hAnsi="Arial"/>
                <w:b/>
                <w:color w:val="000000"/>
                <w:sz w:val="18"/>
                <w:lang w:eastAsia="en-US"/>
              </w:rPr>
              <w:t>J.P Morgan</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123</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119</w:t>
            </w:r>
          </w:p>
        </w:tc>
      </w:tr>
      <w:tr>
        <w:trPr>
          <w:trHeight w:val="255" w:hRule="atLeast"/>
        </w:trPr>
        <w:tc>
          <w:tcPr>
            <w:tcW w:w="10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Mar 23 01</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sz w:val="18"/>
                <w:lang w:eastAsia="en-US"/>
              </w:rPr>
            </w:pPr>
            <w:r>
              <w:rPr>
                <w:rFonts w:cs="Arial" w:ascii="Arial" w:hAnsi="Arial"/>
                <w:b/>
                <w:color w:val="000000"/>
                <w:sz w:val="18"/>
                <w:lang w:eastAsia="en-US"/>
              </w:rPr>
              <w:t>Deutsche Bank</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130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140</w:t>
            </w:r>
          </w:p>
        </w:tc>
      </w:tr>
      <w:tr>
        <w:trPr>
          <w:trHeight w:val="255" w:hRule="atLeast"/>
        </w:trPr>
        <w:tc>
          <w:tcPr>
            <w:tcW w:w="102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March 2001</w:t>
            </w:r>
          </w:p>
        </w:tc>
        <w:tc>
          <w:tcPr>
            <w:tcW w:w="180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18"/>
                <w:lang w:eastAsia="en-US"/>
              </w:rPr>
            </w:pPr>
            <w:r>
              <w:rPr>
                <w:rFonts w:cs="Arial" w:ascii="Arial" w:hAnsi="Arial"/>
                <w:b/>
                <w:color w:val="000000"/>
                <w:sz w:val="18"/>
                <w:lang w:eastAsia="en-US"/>
              </w:rPr>
              <w:t>ING-Barings</w:t>
            </w:r>
          </w:p>
        </w:tc>
        <w:tc>
          <w:tcPr>
            <w:tcW w:w="810" w:type="dxa"/>
            <w:tcBorders>
              <w:top w:val="single" w:sz="6" w:space="0" w:color="000000"/>
              <w:start w:val="single" w:sz="6" w:space="0" w:color="000000"/>
              <w:end w:val="single" w:sz="6" w:space="0" w:color="000000"/>
            </w:tcBorders>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720"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90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12/31/01</w:t>
            </w:r>
          </w:p>
          <w:p>
            <w:pPr>
              <w:pStyle w:val="Normal"/>
              <w:jc w:val="center"/>
              <w:rPr>
                <w:rFonts w:ascii="Arial" w:hAnsi="Arial" w:cs="Arial"/>
                <w:color w:val="000000"/>
                <w:sz w:val="18"/>
                <w:lang w:eastAsia="en-US"/>
              </w:rPr>
            </w:pPr>
            <w:r>
              <w:rPr>
                <w:rFonts w:cs="Arial" w:ascii="Arial" w:hAnsi="Arial"/>
                <w:color w:val="000000"/>
                <w:sz w:val="18"/>
                <w:lang w:eastAsia="en-US"/>
              </w:rPr>
              <w:t>=129</w:t>
            </w:r>
          </w:p>
        </w:tc>
      </w:tr>
      <w:tr>
        <w:trPr>
          <w:trHeight w:val="255" w:hRule="atLeast"/>
        </w:trPr>
        <w:tc>
          <w:tcPr>
            <w:tcW w:w="102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Mar 23 01</w:t>
            </w:r>
          </w:p>
        </w:tc>
        <w:tc>
          <w:tcPr>
            <w:tcW w:w="180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18"/>
                <w:lang w:eastAsia="en-US"/>
              </w:rPr>
            </w:pPr>
            <w:r>
              <w:rPr>
                <w:rFonts w:cs="Arial" w:ascii="Arial" w:hAnsi="Arial"/>
                <w:b/>
                <w:color w:val="000000"/>
                <w:sz w:val="18"/>
                <w:lang w:eastAsia="en-US"/>
              </w:rPr>
              <w:t>Mellon Bank</w:t>
            </w:r>
          </w:p>
        </w:tc>
        <w:tc>
          <w:tcPr>
            <w:tcW w:w="81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123</w:t>
            </w:r>
          </w:p>
        </w:tc>
        <w:tc>
          <w:tcPr>
            <w:tcW w:w="72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120</w:t>
            </w:r>
          </w:p>
        </w:tc>
        <w:tc>
          <w:tcPr>
            <w:tcW w:w="90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112</w:t>
            </w:r>
          </w:p>
        </w:tc>
      </w:tr>
      <w:tr>
        <w:trPr>
          <w:trHeight w:val="93" w:hRule="atLeast"/>
        </w:trPr>
        <w:tc>
          <w:tcPr>
            <w:tcW w:w="1020" w:type="dxa"/>
            <w:tcBorders>
              <w:top w:val="single" w:sz="6"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Mar 29 01</w:t>
            </w:r>
          </w:p>
        </w:tc>
        <w:tc>
          <w:tcPr>
            <w:tcW w:w="1800" w:type="dxa"/>
            <w:tcBorders>
              <w:top w:val="single" w:sz="6"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Enron</w:t>
            </w:r>
          </w:p>
        </w:tc>
        <w:tc>
          <w:tcPr>
            <w:tcW w:w="810" w:type="dxa"/>
            <w:tcBorders>
              <w:top w:val="single" w:sz="6"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125</w:t>
            </w:r>
          </w:p>
        </w:tc>
        <w:tc>
          <w:tcPr>
            <w:tcW w:w="720" w:type="dxa"/>
            <w:tcBorders>
              <w:top w:val="single" w:sz="6"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127</w:t>
            </w:r>
          </w:p>
        </w:tc>
        <w:tc>
          <w:tcPr>
            <w:tcW w:w="900" w:type="dxa"/>
            <w:tcBorders>
              <w:top w:val="single" w:sz="6" w:space="0" w:color="000000"/>
              <w:start w:val="single" w:sz="2" w:space="0" w:color="000000"/>
              <w:bottom w:val="single" w:sz="6"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129</w:t>
            </w:r>
          </w:p>
        </w:tc>
      </w:tr>
      <w:tr>
        <w:trPr>
          <w:trHeight w:val="93" w:hRule="atLeast"/>
        </w:trPr>
        <w:tc>
          <w:tcPr>
            <w:tcW w:w="1020" w:type="dxa"/>
            <w:tcBorders>
              <w:start w:val="single" w:sz="2" w:space="0" w:color="000000"/>
              <w:bottom w:val="single" w:sz="2" w:space="0" w:color="000000"/>
              <w:end w:val="single" w:sz="2" w:space="0" w:color="000000"/>
            </w:tcBorders>
            <w:shd w:fill="F2F2F2" w:val="clear"/>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1800" w:type="dxa"/>
            <w:tcBorders>
              <w:start w:val="single" w:sz="2" w:space="0" w:color="000000"/>
              <w:bottom w:val="single" w:sz="6" w:space="0" w:color="000000"/>
              <w:end w:val="single" w:sz="2" w:space="0" w:color="000000"/>
            </w:tcBorders>
            <w:shd w:fill="F2F2F2"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810" w:type="dxa"/>
            <w:tcBorders>
              <w:start w:val="single" w:sz="2" w:space="0" w:color="000000"/>
              <w:bottom w:val="single" w:sz="6" w:space="0" w:color="000000"/>
              <w:end w:val="single" w:sz="2" w:space="0" w:color="000000"/>
            </w:tcBorders>
            <w:shd w:fill="F2F2F2"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720" w:type="dxa"/>
            <w:tcBorders>
              <w:start w:val="single" w:sz="2" w:space="0" w:color="000000"/>
              <w:bottom w:val="single" w:sz="6" w:space="0" w:color="000000"/>
              <w:end w:val="single" w:sz="2" w:space="0" w:color="000000"/>
            </w:tcBorders>
            <w:shd w:fill="F2F2F2"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00" w:type="dxa"/>
            <w:tcBorders>
              <w:start w:val="single" w:sz="2" w:space="0" w:color="000000"/>
              <w:bottom w:val="single" w:sz="6" w:space="0" w:color="000000"/>
              <w:end w:val="single" w:sz="2" w:space="0" w:color="000000"/>
            </w:tcBorders>
            <w:shd w:fill="F2F2F2" w:val="clear"/>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165" w:hRule="atLeast"/>
        </w:trPr>
        <w:tc>
          <w:tcPr>
            <w:tcW w:w="1020" w:type="dxa"/>
            <w:tcBorders>
              <w:top w:val="single" w:sz="2" w:space="0" w:color="000000"/>
              <w:start w:val="single" w:sz="2" w:space="0" w:color="000000"/>
              <w:bottom w:val="single" w:sz="2" w:space="0" w:color="000000"/>
              <w:end w:val="single" w:sz="6"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FF0000"/>
                <w:sz w:val="18"/>
                <w:lang w:eastAsia="en-US"/>
              </w:rPr>
            </w:pPr>
            <w:r>
              <w:rPr>
                <w:rFonts w:cs="Arial" w:ascii="Arial" w:hAnsi="Arial"/>
                <w:b/>
                <w:color w:val="FF0000"/>
                <w:sz w:val="18"/>
                <w:lang w:eastAsia="en-US"/>
              </w:rPr>
              <w:t>High</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FF0000"/>
                <w:sz w:val="18"/>
                <w:lang w:eastAsia="en-US"/>
              </w:rPr>
            </w:pPr>
            <w:r>
              <w:rPr>
                <w:rFonts w:cs="Arial" w:ascii="Arial" w:hAnsi="Arial"/>
                <w:b/>
                <w:color w:val="FF0000"/>
                <w:sz w:val="18"/>
                <w:lang w:eastAsia="en-US"/>
              </w:rPr>
              <w:t>125.75</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FF0000"/>
                <w:sz w:val="18"/>
                <w:lang w:eastAsia="en-US"/>
              </w:rPr>
            </w:pPr>
            <w:r>
              <w:rPr>
                <w:rFonts w:cs="Arial" w:ascii="Arial" w:hAnsi="Arial"/>
                <w:b/>
                <w:color w:val="FF0000"/>
                <w:sz w:val="18"/>
                <w:lang w:eastAsia="en-US"/>
              </w:rPr>
              <w:t>130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FF0000"/>
                <w:sz w:val="18"/>
                <w:lang w:eastAsia="en-US"/>
              </w:rPr>
            </w:pPr>
            <w:r>
              <w:rPr>
                <w:rFonts w:cs="Arial" w:ascii="Arial" w:hAnsi="Arial"/>
                <w:b/>
                <w:color w:val="FF0000"/>
                <w:sz w:val="18"/>
                <w:lang w:eastAsia="en-US"/>
              </w:rPr>
              <w:t>140</w:t>
            </w:r>
          </w:p>
        </w:tc>
      </w:tr>
      <w:tr>
        <w:trPr>
          <w:trHeight w:val="210" w:hRule="atLeast"/>
        </w:trPr>
        <w:tc>
          <w:tcPr>
            <w:tcW w:w="1020" w:type="dxa"/>
            <w:tcBorders>
              <w:top w:val="single" w:sz="2" w:space="0" w:color="000000"/>
              <w:start w:val="single" w:sz="2" w:space="0" w:color="000000"/>
              <w:bottom w:val="single" w:sz="2" w:space="0" w:color="000000"/>
              <w:end w:val="single" w:sz="6" w:space="0" w:color="000000"/>
            </w:tcBorders>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8000"/>
                <w:sz w:val="18"/>
                <w:lang w:eastAsia="en-US"/>
              </w:rPr>
            </w:pPr>
            <w:r>
              <w:rPr>
                <w:rFonts w:cs="Arial" w:ascii="Arial" w:hAnsi="Arial"/>
                <w:b/>
                <w:color w:val="008000"/>
                <w:sz w:val="18"/>
                <w:lang w:eastAsia="en-US"/>
              </w:rPr>
              <w:t>Low</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8000"/>
                <w:sz w:val="18"/>
                <w:lang w:eastAsia="en-US"/>
              </w:rPr>
            </w:pPr>
            <w:r>
              <w:rPr>
                <w:rFonts w:cs="Arial" w:ascii="Arial" w:hAnsi="Arial"/>
                <w:b/>
                <w:color w:val="008000"/>
                <w:sz w:val="18"/>
                <w:lang w:eastAsia="en-US"/>
              </w:rPr>
              <w:t>119.7</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8000"/>
                <w:sz w:val="18"/>
                <w:lang w:eastAsia="en-US"/>
              </w:rPr>
            </w:pPr>
            <w:r>
              <w:rPr>
                <w:rFonts w:cs="Arial" w:ascii="Arial" w:hAnsi="Arial"/>
                <w:b/>
                <w:color w:val="008000"/>
                <w:sz w:val="18"/>
                <w:lang w:eastAsia="en-US"/>
              </w:rPr>
              <w:t>115</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8000"/>
                <w:sz w:val="18"/>
                <w:lang w:eastAsia="en-US"/>
              </w:rPr>
            </w:pPr>
            <w:r>
              <w:rPr>
                <w:rFonts w:cs="Arial" w:ascii="Arial" w:hAnsi="Arial"/>
                <w:b/>
                <w:color w:val="008000"/>
                <w:sz w:val="18"/>
                <w:lang w:eastAsia="en-US"/>
              </w:rPr>
              <w:t>110</w:t>
            </w:r>
          </w:p>
        </w:tc>
      </w:tr>
    </w:tbl>
    <w:p>
      <w:pPr>
        <w:pStyle w:val="Normal"/>
        <w:jc w:val="center"/>
        <w:rPr>
          <w:sz w:val="22"/>
        </w:rPr>
      </w:pPr>
      <w:r>
        <w:rPr>
          <w:sz w:val="22"/>
        </w:rPr>
      </w:r>
    </w:p>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22"/>
      </w:rPr>
    </w:pPr>
    <w:r>
      <w:rPr>
        <w:b/>
        <w:sz w:val="22"/>
      </w:rPr>
      <w:t>Prepared by the ENA Research Group, April 5, 2001</w:t>
    </w:r>
  </w:p>
  <w:p>
    <w:pPr>
      <w:pStyle w:val="Foo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4</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object w:dxaOrig="1110" w:dyaOrig="75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0pt;margin-top:0pt;width:55.5pt;height:37.5pt;mso-wrap-distance-left:9.05pt;mso-wrap-distance-right:9.05pt;mso-position-horizontal-relative:text;mso-position-vertical-relative:text" filled="f" o:ole="">
          <v:imagedata r:id="rId2" o:title=""/>
          <w10:wrap type="topAndBottom"/>
        </v:shape>
        <o:OLEObject Type="Embed" ProgID="" ShapeID="ole_rId1" DrawAspect="Content" ObjectID="_1731927376" r:id="rId1"/>
      </w:object>
      <w:object w:dxaOrig="1019" w:dyaOrig="87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410.4pt;margin-top:-7.2pt;width:72pt;height:50.4pt;mso-wrap-distance-left:9.05pt;mso-wrap-distance-right:9.05pt;mso-position-horizontal-relative:text;mso-position-vertical-relative:text" filled="f" o:ole="">
          <v:imagedata r:id="rId4" o:title=""/>
          <w10:wrap type="topAndBottom"/>
        </v:shape>
        <o:OLEObject Type="Embed" ProgID="" ShapeID="ole_rId3" DrawAspect="Content" ObjectID="_1381014347" r:id="rId3"/>
      </w:object>
    </w:r>
    <w:r>
      <w:rPr>
        <w:b/>
        <w:sz w:val="28"/>
      </w:rPr>
      <w:t xml:space="preserve"> </w:t>
    </w:r>
    <w:r>
      <w:rPr>
        <w:b/>
        <w:sz w:val="28"/>
      </w:rPr>
      <w:t>Outlook for Japanese Yen</w:t>
    </w:r>
  </w:p>
  <w:p>
    <w:pPr>
      <w:pStyle w:val="Header"/>
      <w:jc w:val="center"/>
      <w:rPr>
        <w:b/>
        <w:sz w:val="28"/>
      </w:rPr>
    </w:pPr>
    <w:r>
      <w:rPr>
        <w:b/>
        <w:sz w:val="28"/>
      </w:rPr>
      <w:t>April 5, 2001</w:t>
    </w:r>
  </w:p>
  <w:p>
    <w:pPr>
      <w:pStyle w:val="Header"/>
      <w:jc w:val="center"/>
      <w:rPr>
        <w:b/>
        <w:sz w:val="28"/>
        <w:lang w:val="en-CA"/>
      </w:rPr>
    </w:pPr>
    <w:r>
      <w:rPr>
        <w:b/>
        <w:sz w:val="28"/>
        <w:lang w:val="en-CA"/>
      </w:rPr>
      <mc:AlternateContent>
        <mc:Choice Requires="wps">
          <w:drawing>
            <wp:anchor behindDoc="1" distT="0" distB="0" distL="114935" distR="114935" simplePos="0" locked="0" layoutInCell="1" allowOverlap="1" relativeHeight="9">
              <wp:simplePos x="0" y="0"/>
              <wp:positionH relativeFrom="column">
                <wp:posOffset>0</wp:posOffset>
              </wp:positionH>
              <wp:positionV relativeFrom="paragraph">
                <wp:posOffset>139700</wp:posOffset>
              </wp:positionV>
              <wp:extent cx="5943600" cy="0"/>
              <wp:effectExtent l="0" t="9525" r="0" b="9525"/>
              <wp:wrapNone/>
              <wp:docPr id="1" name=""/>
              <a:graphic xmlns:a="http://schemas.openxmlformats.org/drawingml/2006/main">
                <a:graphicData uri="http://schemas.microsoft.com/office/word/2010/wordprocessingShape">
                  <wps:wsp>
                    <wps:cNvSpPr/>
                    <wps:spPr>
                      <a:xfrm>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pt" to="467.95pt,11pt" stroked="t" o:allowincell="f" style="position:absolute">
              <v:stroke color="black" weight="19080" joinstyle="miter" endcap="flat"/>
              <v:fill o:detectmouseclick="t" on="false"/>
              <w10:wrap type="none"/>
            </v:line>
          </w:pict>
        </mc:Fallback>
      </mc:AlternateContent>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i/>
      <w:color w:val="000000"/>
      <w:sz w:val="18"/>
      <w:lang w:eastAsia="en-US"/>
    </w:rPr>
  </w:style>
  <w:style w:type="paragraph" w:styleId="Heading2">
    <w:name w:val="heading 2"/>
    <w:basedOn w:val="Normal"/>
    <w:next w:val="Normal"/>
    <w:qFormat/>
    <w:pPr>
      <w:keepNext w:val="true"/>
      <w:numPr>
        <w:ilvl w:val="1"/>
        <w:numId w:val="1"/>
      </w:numPr>
      <w:outlineLvl w:val="1"/>
    </w:pPr>
    <w:rPr>
      <w:i/>
      <w:sz w:val="22"/>
    </w:rPr>
  </w:style>
  <w:style w:type="paragraph" w:styleId="Heading3">
    <w:name w:val="heading 3"/>
    <w:basedOn w:val="Normal"/>
    <w:next w:val="Normal"/>
    <w:qFormat/>
    <w:pPr>
      <w:keepNext w:val="true"/>
      <w:numPr>
        <w:ilvl w:val="2"/>
        <w:numId w:val="1"/>
      </w:numPr>
      <w:jc w:val="center"/>
      <w:outlineLvl w:val="2"/>
    </w:pPr>
    <w:rPr>
      <w:rFonts w:ascii="Arial" w:hAnsi="Arial" w:cs="Arial"/>
      <w:b/>
      <w:color w:val="000000"/>
      <w:sz w:val="18"/>
      <w:lang w:eastAsia="en-US"/>
    </w:rPr>
  </w:style>
  <w:style w:type="paragraph" w:styleId="Heading4">
    <w:name w:val="heading 4"/>
    <w:basedOn w:val="Normal"/>
    <w:next w:val="Normal"/>
    <w:qFormat/>
    <w:pPr>
      <w:keepNext w:val="true"/>
      <w:numPr>
        <w:ilvl w:val="3"/>
        <w:numId w:val="1"/>
      </w:numPr>
      <w:jc w:val="center"/>
      <w:outlineLvl w:val="3"/>
    </w:pPr>
    <w:rPr>
      <w:b/>
      <w:color w:val="FF0000"/>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2.png"/><Relationship Id="rId3" Type="http://schemas.openxmlformats.org/officeDocument/2006/relationships/oleObject" Target="embeddings/oleObject3.bin"/><Relationship Id="rId4"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2001-04-04T13:55:00Z</dcterms:created>
  <dc:creator>gkoepke</dc:creator>
  <dc:description/>
  <dc:language>en-CA</dc:language>
  <cp:lastModifiedBy>gkoepke</cp:lastModifiedBy>
  <dcterms:modified xsi:type="dcterms:W3CDTF">2001-04-09T17:27:00Z</dcterms:modified>
  <cp:revision>8</cp:revision>
  <dc:subject/>
  <dc:title>Japanese Yen - Consensus Forecasts</dc:title>
</cp:coreProperties>
</file>