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0" w:end="0"/>
        <w:jc w:val="center"/>
        <w:rPr>
          <w:rFonts w:ascii="Arial" w:hAnsi="Arial" w:cs="Arial"/>
          <w:b/>
          <w:sz w:val="24"/>
        </w:rPr>
      </w:pPr>
      <w:r>
        <w:rPr>
          <w:rFonts w:cs="Arial" w:ascii="Arial" w:hAnsi="Arial"/>
          <w:b/>
          <w:sz w:val="24"/>
        </w:rPr>
      </w:r>
    </w:p>
    <w:p>
      <w:pPr>
        <w:pStyle w:val="Normal"/>
        <w:pBdr>
          <w:top w:val="single" w:sz="12" w:space="1" w:color="000000"/>
          <w:left w:val="single" w:sz="12" w:space="4" w:color="000000"/>
          <w:bottom w:val="single" w:sz="12" w:space="1" w:color="000000"/>
          <w:right w:val="single" w:sz="12" w:space="4" w:color="000000"/>
        </w:pBdr>
        <w:ind w:start="-900" w:end="0"/>
        <w:jc w:val="center"/>
        <w:rPr>
          <w:rFonts w:ascii="Arial" w:hAnsi="Arial" w:cs="Arial"/>
          <w:b/>
          <w:sz w:val="24"/>
        </w:rPr>
      </w:pPr>
      <w:r>
        <w:rPr>
          <w:rFonts w:cs="Arial" w:ascii="Arial" w:hAnsi="Arial"/>
          <w:b/>
          <w:sz w:val="24"/>
        </w:rPr>
        <w:t>INTRODUCING THE NEW EUROMONEY YEARBOOKS</w:t>
      </w:r>
    </w:p>
    <w:p>
      <w:pPr>
        <w:pStyle w:val="Normal"/>
        <w:rPr>
          <w:rFonts w:ascii="Arial" w:hAnsi="Arial" w:cs="Arial"/>
          <w:b/>
          <w:sz w:val="24"/>
        </w:rPr>
      </w:pPr>
      <w:r>
        <w:rPr>
          <w:rFonts w:cs="Arial" w:ascii="Arial" w:hAnsi="Arial"/>
          <w:b/>
          <w:sz w:val="24"/>
        </w:rPr>
      </w:r>
    </w:p>
    <w:p>
      <w:pPr>
        <w:pStyle w:val="Normal"/>
        <w:ind w:start="-900" w:end="0"/>
        <w:jc w:val="both"/>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u w:val="single"/>
        </w:rPr>
        <w:t>World Leasing Yearbook 2000.</w:t>
      </w:r>
      <w:r>
        <w:rPr>
          <w:rFonts w:cs="Arial" w:ascii="Arial" w:hAnsi="Arial"/>
          <w:b/>
          <w:sz w:val="22"/>
        </w:rPr>
        <w:t xml:space="preserve"> </w:t>
      </w:r>
      <w:r>
        <w:rPr>
          <w:rFonts w:cs="Arial" w:ascii="Arial" w:hAnsi="Arial"/>
          <w:sz w:val="18"/>
        </w:rPr>
        <w:t>Standard source book for the asset funding and leasing industry.</w:t>
      </w:r>
    </w:p>
    <w:p>
      <w:pPr>
        <w:pStyle w:val="Normal"/>
        <w:ind w:start="-900" w:end="0"/>
        <w:jc w:val="both"/>
        <w:rPr>
          <w:rFonts w:ascii="Arial" w:hAnsi="Arial" w:cs="Arial"/>
          <w:sz w:val="18"/>
        </w:rPr>
      </w:pPr>
      <w:r>
        <w:rPr>
          <w:rFonts w:cs="Arial" w:ascii="Arial" w:hAnsi="Arial"/>
          <w:sz w:val="18"/>
        </w:rPr>
        <w:t xml:space="preserve">The new 21st edition provides an unrivalled and valuable reference for all players in the market. It features over 100 authoritative articles by leading industry experts on global leasing and a comprehensive directory of over 6,500 companies active in the sector. A special IT report on leasing software and a unique ranking of the top 50 leasing markets by size world-wide completes this essential guide. </w:t>
        <w:tab/>
      </w:r>
      <w:r>
        <w:rPr>
          <w:rFonts w:cs="Arial" w:ascii="Arial" w:hAnsi="Arial"/>
          <w:b/>
          <w:sz w:val="18"/>
        </w:rPr>
        <w:t>21st edition.</w:t>
      </w:r>
      <w:r>
        <w:rPr>
          <w:rFonts w:cs="Arial" w:ascii="Arial" w:hAnsi="Arial"/>
          <w:sz w:val="18"/>
        </w:rPr>
        <w:t xml:space="preserve"> </w:t>
      </w:r>
      <w:r>
        <w:rPr>
          <w:rFonts w:cs="Arial" w:ascii="Arial" w:hAnsi="Arial"/>
          <w:b/>
          <w:sz w:val="18"/>
        </w:rPr>
        <w:t xml:space="preserve">ISBN: 185564 733 8 </w:t>
        <w:tab/>
        <w:t>£135/US$225</w:t>
      </w:r>
    </w:p>
    <w:p>
      <w:pPr>
        <w:pStyle w:val="Normal"/>
        <w:jc w:val="both"/>
        <w:rPr>
          <w:rFonts w:ascii="Arial" w:hAnsi="Arial" w:cs="Arial"/>
          <w:sz w:val="18"/>
        </w:rPr>
      </w:pPr>
      <w:r>
        <w:rPr>
          <w:rFonts w:cs="Arial" w:ascii="Arial" w:hAnsi="Arial"/>
          <w:sz w:val="18"/>
        </w:rPr>
      </w:r>
    </w:p>
    <w:p>
      <w:pPr>
        <w:pStyle w:val="Normal"/>
        <w:ind w:start="-900" w:end="0"/>
        <w:jc w:val="both"/>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u w:val="single"/>
        </w:rPr>
        <w:t>Airfinance Annual 2000/2001.</w:t>
      </w:r>
      <w:r>
        <w:rPr>
          <w:rFonts w:cs="Arial" w:ascii="Arial" w:hAnsi="Arial"/>
          <w:sz w:val="18"/>
        </w:rPr>
        <w:t xml:space="preserve"> </w:t>
      </w:r>
      <w:r>
        <w:rPr>
          <w:rFonts w:cs="Arial" w:ascii="Arial" w:hAnsi="Arial"/>
          <w:i/>
          <w:sz w:val="18"/>
        </w:rPr>
        <w:t>The only reference book about all aspects of commercial aircraft financing</w:t>
      </w:r>
      <w:r>
        <w:rPr>
          <w:rFonts w:cs="Arial" w:ascii="Arial" w:hAnsi="Arial"/>
          <w:sz w:val="18"/>
        </w:rPr>
        <w:t>.</w:t>
      </w:r>
    </w:p>
    <w:p>
      <w:pPr>
        <w:pStyle w:val="BodyTextIndent3"/>
        <w:spacing w:before="0" w:after="0"/>
        <w:rPr/>
      </w:pPr>
      <w:r>
        <w:rPr/>
        <w:t xml:space="preserve">Over 90 articles by industry experts explore the latest trends in aircraft finance, discuss legal and insurance issues, IT and Maintenance, review supply and demand conditions for the next decade, and report on the aircraft and engine manufacturers. The Airfinance Annual 2000/2001 includes a unique and comprehensive database of over 1,600 companies active in the international airfinance market including financiers, leasing companies, consultants, law firms and insurers. </w:t>
        <w:tab/>
      </w:r>
      <w:r>
        <w:rPr>
          <w:b/>
        </w:rPr>
        <w:t>17</w:t>
      </w:r>
      <w:r>
        <w:rPr>
          <w:b/>
          <w:vertAlign w:val="superscript"/>
        </w:rPr>
        <w:t>th</w:t>
      </w:r>
      <w:r>
        <w:rPr>
          <w:b/>
        </w:rPr>
        <w:t xml:space="preserve"> edition. ISBN: 185564 776 1 </w:t>
        <w:tab/>
        <w:tab/>
        <w:t xml:space="preserve"> £125/US$205</w:t>
      </w:r>
    </w:p>
    <w:p>
      <w:pPr>
        <w:pStyle w:val="Normal"/>
        <w:ind w:start="-900" w:end="0"/>
        <w:jc w:val="both"/>
        <w:rPr>
          <w:rFonts w:ascii="Arial" w:hAnsi="Arial" w:cs="Arial"/>
          <w:b/>
          <w:sz w:val="18"/>
          <w:u w:val="single"/>
        </w:rPr>
      </w:pPr>
      <w:r>
        <w:rPr>
          <w:rFonts w:cs="Arial" w:ascii="Arial" w:hAnsi="Arial"/>
          <w:b/>
          <w:sz w:val="18"/>
          <w:u w:val="single"/>
        </w:rPr>
      </w:r>
    </w:p>
    <w:p>
      <w:pPr>
        <w:pStyle w:val="Normal"/>
        <w:ind w:start="-907" w:end="0"/>
        <w:jc w:val="both"/>
        <w:rPr>
          <w:rFonts w:ascii="Arial" w:hAnsi="Arial" w:cs="Arial"/>
          <w:sz w:val="18"/>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u w:val="single"/>
        </w:rPr>
        <w:t>Project Finance Yearbook 2000/2001</w:t>
      </w:r>
      <w:r>
        <w:rPr>
          <w:rFonts w:cs="Arial" w:ascii="Arial" w:hAnsi="Arial"/>
          <w:sz w:val="18"/>
        </w:rPr>
        <w:t xml:space="preserve">. </w:t>
      </w:r>
      <w:r>
        <w:rPr>
          <w:rFonts w:cs="Arial" w:ascii="Arial" w:hAnsi="Arial"/>
          <w:i/>
          <w:sz w:val="18"/>
        </w:rPr>
        <w:t>Unique guide to International Project Finance.</w:t>
      </w:r>
    </w:p>
    <w:p>
      <w:pPr>
        <w:pStyle w:val="BodyTextIndent3"/>
        <w:spacing w:before="0" w:after="0"/>
        <w:ind w:start="-907" w:end="0"/>
        <w:rPr/>
      </w:pPr>
      <w:r>
        <w:rPr/>
        <w:t>The Project Finance Yearbook is designed specifically for users and providers of international project finance, illustrating trends within the market through authoritative editorial and comment. Includes a free international directory of project finance players listing over 1,600 companies currently active in the market.</w:t>
      </w:r>
    </w:p>
    <w:p>
      <w:pPr>
        <w:pStyle w:val="Normal"/>
        <w:ind w:start="-907" w:end="0"/>
        <w:jc w:val="both"/>
        <w:rPr>
          <w:rFonts w:ascii="Arial" w:hAnsi="Arial" w:cs="Arial"/>
          <w:sz w:val="18"/>
        </w:rPr>
      </w:pPr>
      <w:r>
        <w:rPr>
          <w:rFonts w:cs="Arial" w:ascii="Arial" w:hAnsi="Arial"/>
          <w:b/>
          <w:sz w:val="18"/>
        </w:rPr>
        <w:t>10</w:t>
      </w:r>
      <w:r>
        <w:rPr>
          <w:rFonts w:cs="Arial" w:ascii="Arial" w:hAnsi="Arial"/>
          <w:b/>
          <w:sz w:val="18"/>
          <w:vertAlign w:val="superscript"/>
        </w:rPr>
        <w:t>th</w:t>
      </w:r>
      <w:r>
        <w:rPr>
          <w:rFonts w:cs="Arial" w:ascii="Arial" w:hAnsi="Arial"/>
          <w:b/>
          <w:sz w:val="18"/>
        </w:rPr>
        <w:t xml:space="preserve"> edition.</w:t>
      </w:r>
      <w:r>
        <w:rPr>
          <w:rFonts w:cs="Arial" w:ascii="Arial" w:hAnsi="Arial"/>
          <w:sz w:val="18"/>
        </w:rPr>
        <w:t xml:space="preserve"> </w:t>
      </w:r>
      <w:r>
        <w:rPr>
          <w:rFonts w:cs="Arial" w:ascii="Arial" w:hAnsi="Arial"/>
          <w:b/>
          <w:sz w:val="18"/>
        </w:rPr>
        <w:t xml:space="preserve">ISBN: 185564 773 7 </w:t>
        <w:tab/>
        <w:tab/>
        <w:t>£125/$205.</w:t>
      </w:r>
    </w:p>
    <w:p>
      <w:pPr>
        <w:pStyle w:val="Heading6"/>
        <w:ind w:hanging="0" w:start="0"/>
        <w:rPr>
          <w:rFonts w:ascii="Arial" w:hAnsi="Arial" w:cs="Arial"/>
          <w:b w:val="false"/>
          <w:sz w:val="18"/>
          <w:u w:val="none"/>
        </w:rPr>
      </w:pPr>
      <w:r>
        <w:rPr>
          <w:rFonts w:cs="Arial" w:ascii="Arial" w:hAnsi="Arial"/>
          <w:b w:val="false"/>
          <w:sz w:val="18"/>
          <w:u w:val="none"/>
        </w:rPr>
      </w:r>
    </w:p>
    <w:p>
      <w:pPr>
        <w:pStyle w:val="Heading2"/>
        <w:ind w:hanging="0" w:start="-900" w:end="0"/>
        <w:jc w:val="both"/>
        <w:rPr/>
      </w:pPr>
      <w:r>
        <w:rPr>
          <w:rFonts w:eastAsia="Monotype Sorts" w:cs="Monotype Sorts" w:ascii="Monotype Sorts" w:hAnsi="Monotype Sorts"/>
          <w:b w:val="false"/>
          <w:sz w:val="22"/>
          <w:u w:val="none"/>
        </w:rPr>
        <w:sym w:font="Monotype Sorts" w:char="f072"/>
      </w:r>
      <w:r>
        <w:rPr>
          <w:rFonts w:eastAsia="Arial" w:cs="Arial" w:ascii="Arial" w:hAnsi="Arial"/>
          <w:sz w:val="22"/>
          <w:u w:val="none"/>
        </w:rPr>
        <w:t xml:space="preserve"> </w:t>
      </w:r>
      <w:r>
        <w:rPr>
          <w:rFonts w:cs="Arial" w:ascii="Arial" w:hAnsi="Arial"/>
          <w:sz w:val="22"/>
        </w:rPr>
        <w:t>Offshore Finance Yearbook 2000-2001</w:t>
      </w:r>
    </w:p>
    <w:p>
      <w:pPr>
        <w:pStyle w:val="BodyTextIndent3"/>
        <w:spacing w:before="0" w:after="0"/>
        <w:rPr/>
      </w:pPr>
      <w:r>
        <w:rPr/>
        <w:t>This is an essential reference book and point of contact for the offshore practitioner. Experts in offshore finance, law and regulation contribute the editorial. Guides to over 30 offshore jurisdictions, from new centre of Brunei to the more established centres of BVI, and Panama… Articles cover a diverse range of topics representative of the current market, such as tax implications of e-commerce, the effects of globalisation and IT, the distribution of offshore funds and offshore corporate structures. Includes a unique directory of over 1,300 companies active in the market.</w:t>
        <w:tab/>
      </w:r>
      <w:r>
        <w:rPr>
          <w:b/>
        </w:rPr>
        <w:t>7th edition. ISBN: 185564 769 9</w:t>
        <w:tab/>
        <w:tab/>
        <w:t>£125/US$205</w:t>
      </w:r>
    </w:p>
    <w:p>
      <w:pPr>
        <w:pStyle w:val="Normal"/>
        <w:ind w:start="-900" w:end="0"/>
        <w:jc w:val="both"/>
        <w:rPr>
          <w:rFonts w:ascii="Arial" w:hAnsi="Arial" w:cs="Arial"/>
          <w:b/>
        </w:rPr>
      </w:pPr>
      <w:r>
        <w:rPr>
          <w:rFonts w:cs="Arial" w:ascii="Arial" w:hAnsi="Arial"/>
          <w:b/>
        </w:rPr>
      </w:r>
    </w:p>
    <w:p>
      <w:pPr>
        <w:pStyle w:val="Heading1"/>
        <w:ind w:hanging="90" w:start="-810" w:end="0"/>
        <w:jc w:val="both"/>
        <w:rPr>
          <w:b/>
        </w:rPr>
      </w:pPr>
      <w:r>
        <w:rPr>
          <w:rFonts w:eastAsia="Monotype Sorts" w:cs="Monotype Sorts" w:ascii="Monotype Sorts" w:hAnsi="Monotype Sorts"/>
          <w:b/>
          <w:u w:val="none"/>
        </w:rPr>
        <w:sym w:font="Monotype Sorts" w:char="f072"/>
      </w:r>
      <w:r>
        <w:rPr>
          <w:b/>
        </w:rPr>
        <w:t xml:space="preserve"> </w:t>
      </w:r>
      <w:r>
        <w:rPr>
          <w:b/>
        </w:rPr>
        <w:t xml:space="preserve">Internet Finance Review 2000/2001 </w:t>
      </w:r>
      <w:r>
        <w:rPr>
          <w:b/>
          <w:u w:val="none"/>
        </w:rPr>
        <w:tab/>
        <w:tab/>
      </w:r>
      <w:r>
        <w:rPr>
          <w:b/>
          <w:i/>
          <w:u w:val="none"/>
        </w:rPr>
        <w:t>*New Title*</w:t>
      </w:r>
    </w:p>
    <w:p>
      <w:pPr>
        <w:pStyle w:val="Normal"/>
        <w:ind w:start="-900" w:end="0"/>
        <w:rPr>
          <w:rFonts w:ascii="Arial" w:hAnsi="Arial" w:cs="Arial"/>
          <w:sz w:val="18"/>
        </w:rPr>
      </w:pPr>
      <w:r>
        <w:rPr>
          <w:rFonts w:cs="Arial" w:ascii="Arial" w:hAnsi="Arial"/>
          <w:sz w:val="18"/>
        </w:rPr>
        <w:t>Euromoney's new publication, Internet Finance Review 2000/2001 is a comprehensive guide to all aspects of finance within the fast-moving digital economy. Featuring a series of articles addressing key legal and financial developments, the review contains overviews of B2B e-commerce, the Internet as an accelerator for mergers and acquisitions, the use of tracking stock to unlock Internet valuations and effectively charts the start-up life cycle from idea to IPO. A detailed and diverse selection of country/regional reviews are also provided including both Nordic and US consultancy articles and contributions from Canada, Italy, Russia, Spain and Turkey. An extensive appendix compiled by Forrester Research together with IPO and M&amp;A related Internet data completes this title; an ideal guide for anyone wanting to identify the main drivers of e-business today.</w:t>
      </w:r>
    </w:p>
    <w:p>
      <w:pPr>
        <w:pStyle w:val="Normal"/>
        <w:ind w:start="-900" w:end="0"/>
        <w:jc w:val="both"/>
        <w:rPr/>
      </w:pPr>
      <w:r>
        <w:rPr>
          <w:rFonts w:cs="Arial" w:ascii="Arial" w:hAnsi="Arial"/>
          <w:b/>
          <w:sz w:val="18"/>
        </w:rPr>
        <w:t>1</w:t>
      </w:r>
      <w:r>
        <w:rPr>
          <w:rFonts w:cs="Arial" w:ascii="Arial" w:hAnsi="Arial"/>
          <w:b/>
          <w:sz w:val="18"/>
          <w:vertAlign w:val="superscript"/>
        </w:rPr>
        <w:t>st</w:t>
      </w:r>
      <w:r>
        <w:rPr>
          <w:rFonts w:cs="Arial" w:ascii="Arial" w:hAnsi="Arial"/>
          <w:b/>
          <w:sz w:val="18"/>
        </w:rPr>
        <w:t xml:space="preserve"> edition. ISBN 185564 801 6</w:t>
        <w:tab/>
        <w:tab/>
        <w:t xml:space="preserve">£95/$170 </w:t>
      </w:r>
    </w:p>
    <w:p>
      <w:pPr>
        <w:pStyle w:val="Normal"/>
        <w:ind w:start="-900" w:end="0"/>
        <w:jc w:val="both"/>
        <w:rPr>
          <w:rFonts w:ascii="Arial" w:hAnsi="Arial" w:cs="Arial"/>
          <w:b/>
          <w:sz w:val="18"/>
        </w:rPr>
      </w:pPr>
      <w:r>
        <w:rPr>
          <w:rFonts w:cs="Arial" w:ascii="Arial" w:hAnsi="Arial"/>
          <w:b/>
          <w:sz w:val="18"/>
        </w:rPr>
      </w:r>
    </w:p>
    <w:p>
      <w:pPr>
        <w:pStyle w:val="Heading1"/>
        <w:ind w:hanging="90" w:start="-810" w:end="0"/>
        <w:jc w:val="both"/>
        <w:rPr>
          <w:b/>
        </w:rPr>
      </w:pPr>
      <w:r>
        <w:rPr>
          <w:rFonts w:eastAsia="Monotype Sorts" w:cs="Monotype Sorts" w:ascii="Monotype Sorts" w:hAnsi="Monotype Sorts"/>
          <w:b/>
          <w:u w:val="none"/>
        </w:rPr>
        <w:sym w:font="Monotype Sorts" w:char="f072"/>
      </w:r>
      <w:r>
        <w:rPr>
          <w:rFonts w:eastAsia="Arial" w:cs="Arial" w:ascii="Arial" w:hAnsi="Arial"/>
          <w:b/>
          <w:u w:val="none"/>
        </w:rPr>
        <w:t xml:space="preserve"> </w:t>
      </w:r>
      <w:r>
        <w:rPr>
          <w:rFonts w:cs="Arial" w:ascii="Arial" w:hAnsi="Arial"/>
          <w:b/>
        </w:rPr>
        <w:t>International Mergers &amp; Acquisitions Review 2000/2001</w:t>
      </w:r>
      <w:r>
        <w:rPr>
          <w:rFonts w:cs="Arial" w:ascii="Arial" w:hAnsi="Arial"/>
          <w:b/>
          <w:u w:val="none"/>
        </w:rPr>
        <w:t xml:space="preserve"> </w:t>
        <w:tab/>
        <w:tab/>
      </w:r>
      <w:r>
        <w:rPr>
          <w:b/>
          <w:i/>
          <w:u w:val="none"/>
        </w:rPr>
        <w:t>*New Title*</w:t>
      </w:r>
    </w:p>
    <w:p>
      <w:pPr>
        <w:pStyle w:val="BodyTextIndent3"/>
        <w:spacing w:before="0" w:after="0"/>
        <w:rPr/>
      </w:pPr>
      <w:r>
        <w:rPr/>
        <w:t xml:space="preserve">Euromoney’s guide covering all aspects of M&amp;A activity with articles written by the key market players. The first section of the book covers general issues such as IT as a driver for M&amp;A; divestiture; vertical integration; post merger consolidation; industry sector and regional reviews. The second half of the book consists of country-by-country surveys looking at domestic M&amp;A activity and the regulatory environment. The book also features an appendix of the biggest M&amp;A deals worldwide and a unique directory of over 1,100 contacts active in the market. </w:t>
      </w:r>
    </w:p>
    <w:p>
      <w:pPr>
        <w:pStyle w:val="Normal"/>
        <w:ind w:start="-900" w:end="0"/>
        <w:jc w:val="both"/>
        <w:rPr>
          <w:rFonts w:ascii="Arial" w:hAnsi="Arial" w:cs="Arial"/>
          <w:sz w:val="18"/>
        </w:rPr>
      </w:pPr>
      <w:r>
        <w:rPr>
          <w:rFonts w:cs="Arial" w:ascii="Arial" w:hAnsi="Arial"/>
          <w:b/>
          <w:sz w:val="18"/>
        </w:rPr>
        <w:t>1</w:t>
      </w:r>
      <w:r>
        <w:rPr>
          <w:rFonts w:cs="Arial" w:ascii="Arial" w:hAnsi="Arial"/>
          <w:b/>
          <w:sz w:val="18"/>
          <w:vertAlign w:val="superscript"/>
        </w:rPr>
        <w:t>st</w:t>
      </w:r>
      <w:r>
        <w:rPr>
          <w:rFonts w:cs="Arial" w:ascii="Arial" w:hAnsi="Arial"/>
          <w:b/>
          <w:sz w:val="18"/>
        </w:rPr>
        <w:t xml:space="preserve"> edition. ISBN:</w:t>
      </w:r>
      <w:r>
        <w:rPr>
          <w:rFonts w:cs="Arial" w:ascii="Arial" w:hAnsi="Arial"/>
          <w:sz w:val="18"/>
        </w:rPr>
        <w:t xml:space="preserve"> </w:t>
      </w:r>
      <w:r>
        <w:rPr>
          <w:rFonts w:cs="Arial" w:ascii="Arial" w:hAnsi="Arial"/>
          <w:b/>
          <w:sz w:val="18"/>
        </w:rPr>
        <w:t xml:space="preserve">1 85564 766 4 </w:t>
        <w:tab/>
        <w:tab/>
        <w:t>£95/US$170</w:t>
      </w:r>
    </w:p>
    <w:p>
      <w:pPr>
        <w:pStyle w:val="Heading3"/>
        <w:ind w:hanging="0" w:start="0"/>
        <w:jc w:val="both"/>
        <w:rPr>
          <w:rFonts w:ascii="Arial" w:hAnsi="Arial" w:cs="Arial"/>
          <w:b/>
          <w:sz w:val="18"/>
        </w:rPr>
      </w:pPr>
      <w:r>
        <w:rPr>
          <w:rFonts w:cs="Arial" w:ascii="Arial" w:hAnsi="Arial"/>
          <w:b/>
          <w:sz w:val="18"/>
        </w:rPr>
      </w:r>
    </w:p>
    <w:p>
      <w:pPr>
        <w:pStyle w:val="Heading3"/>
        <w:ind w:hanging="0" w:start="0"/>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rPr>
        <w:t>Venture Capital &amp; Private Equity Yearbook 2000/2001</w:t>
        <w:tab/>
        <w:tab/>
        <w:t xml:space="preserve"> </w:t>
      </w:r>
      <w:r>
        <w:rPr>
          <w:b/>
          <w:i/>
          <w:sz w:val="22"/>
        </w:rPr>
        <w:t>*New Title*</w:t>
      </w:r>
    </w:p>
    <w:p>
      <w:pPr>
        <w:pStyle w:val="BodyTextIndent2"/>
        <w:jc w:val="both"/>
        <w:rPr>
          <w:rFonts w:ascii="Arial" w:hAnsi="Arial" w:cs="Arial"/>
          <w:sz w:val="18"/>
        </w:rPr>
      </w:pPr>
      <w:r>
        <w:rPr>
          <w:rFonts w:cs="Arial" w:ascii="Arial" w:hAnsi="Arial"/>
          <w:sz w:val="18"/>
        </w:rPr>
        <w:t>Euromoney’s comprehensive guide to the global venture capital and private equity markets. Articles cover environmental and integrated due diligence; mezzanine finance; risk capital and European Investment Bank; venture capital and the new economy. It also contains 16 country &amp; regional reviews and articles on stock indices for young growth companies. An appendix containing data on venture capital deals and private equity funding in the US, a glossary listing essential terms and definitions for the venture capital and private equity industry ideally complete this guide.</w:t>
      </w:r>
    </w:p>
    <w:p>
      <w:pPr>
        <w:pStyle w:val="BodyTextIndent2"/>
        <w:jc w:val="both"/>
        <w:rPr/>
      </w:pPr>
      <w:r>
        <w:rPr>
          <w:rFonts w:cs="Arial" w:ascii="Arial" w:hAnsi="Arial"/>
          <w:b/>
        </w:rPr>
        <w:t>1</w:t>
      </w:r>
      <w:r>
        <w:rPr>
          <w:rFonts w:cs="Arial" w:ascii="Arial" w:hAnsi="Arial"/>
          <w:b/>
          <w:vertAlign w:val="superscript"/>
        </w:rPr>
        <w:t>st</w:t>
      </w:r>
      <w:r>
        <w:rPr>
          <w:rFonts w:cs="Arial" w:ascii="Arial" w:hAnsi="Arial"/>
          <w:b/>
        </w:rPr>
        <w:t xml:space="preserve"> edition. ISBN: 185564 783 4 </w:t>
        <w:tab/>
        <w:tab/>
        <w:t>£95/$170</w:t>
      </w:r>
    </w:p>
    <w:p>
      <w:pPr>
        <w:pStyle w:val="Normal"/>
        <w:ind w:start="-900" w:end="0"/>
        <w:jc w:val="both"/>
        <w:rPr>
          <w:rFonts w:ascii="Arial" w:hAnsi="Arial" w:cs="Arial"/>
          <w:b/>
          <w:sz w:val="18"/>
        </w:rPr>
      </w:pPr>
      <w:r>
        <w:rPr>
          <w:rFonts w:cs="Arial" w:ascii="Arial" w:hAnsi="Arial"/>
          <w:b/>
          <w:sz w:val="18"/>
        </w:rPr>
      </w:r>
    </w:p>
    <w:p>
      <w:pPr>
        <w:pStyle w:val="Normal"/>
        <w:ind w:start="-900" w:end="0"/>
        <w:jc w:val="both"/>
        <w:rPr>
          <w:rFonts w:ascii="Arial" w:hAnsi="Arial" w:cs="Arial"/>
          <w:sz w:val="18"/>
        </w:rPr>
      </w:pPr>
      <w:r>
        <w:rPr>
          <w:rFonts w:cs="Arial" w:ascii="Arial" w:hAnsi="Arial"/>
          <w:sz w:val="18"/>
        </w:rPr>
      </w:r>
    </w:p>
    <w:p>
      <w:pPr>
        <w:pStyle w:val="Normal"/>
        <w:ind w:start="-900" w:end="0"/>
        <w:jc w:val="both"/>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u w:val="single"/>
        </w:rPr>
        <w:t>International Privatisation Review 2000/2001</w:t>
      </w:r>
    </w:p>
    <w:p>
      <w:pPr>
        <w:pStyle w:val="Normal"/>
        <w:ind w:start="-907" w:end="0"/>
        <w:jc w:val="both"/>
        <w:rPr>
          <w:rFonts w:ascii="Arial" w:hAnsi="Arial" w:cs="Arial"/>
          <w:sz w:val="18"/>
        </w:rPr>
      </w:pPr>
      <w:r>
        <w:rPr>
          <w:rFonts w:cs="Arial" w:ascii="Arial" w:hAnsi="Arial"/>
          <w:sz w:val="18"/>
        </w:rPr>
        <w:t>This essential guide provides an unrivalled picture of the latest developments in privatisation. This edition includes case studies, country &amp; regional reviews and an editorial that is further divided into legal and financial guides for each country. Introductory articles deal with the progress of privatisation within specific industry sectors covering: airport, oil &amp; gas, and water privatisation. A directory of over 700 names and addresses of international companies offering legal and financial services relating to privatisation transactions complements the text.</w:t>
      </w:r>
    </w:p>
    <w:p>
      <w:pPr>
        <w:pStyle w:val="Normal"/>
        <w:ind w:start="-907" w:end="0"/>
        <w:jc w:val="both"/>
        <w:rPr>
          <w:rFonts w:ascii="Arial" w:hAnsi="Arial" w:cs="Arial"/>
          <w:sz w:val="18"/>
        </w:rPr>
      </w:pPr>
      <w:r>
        <w:rPr>
          <w:rFonts w:cs="Arial" w:ascii="Arial" w:hAnsi="Arial"/>
          <w:b/>
          <w:sz w:val="18"/>
        </w:rPr>
        <w:t>5th edition</w:t>
      </w:r>
      <w:r>
        <w:rPr>
          <w:rFonts w:cs="Arial" w:ascii="Arial" w:hAnsi="Arial"/>
          <w:sz w:val="18"/>
        </w:rPr>
        <w:t xml:space="preserve">. </w:t>
      </w:r>
      <w:r>
        <w:rPr>
          <w:rFonts w:cs="Arial" w:ascii="Arial" w:hAnsi="Arial"/>
          <w:b/>
          <w:sz w:val="18"/>
        </w:rPr>
        <w:t>ISBN: 185564 768 0</w:t>
        <w:tab/>
        <w:tab/>
        <w:t>£95/US$170</w:t>
      </w:r>
    </w:p>
    <w:p>
      <w:pPr>
        <w:pStyle w:val="Normal"/>
        <w:spacing w:before="60" w:after="0"/>
        <w:ind w:start="-900" w:end="0"/>
        <w:jc w:val="both"/>
        <w:rPr>
          <w:rFonts w:ascii="Arial" w:hAnsi="Arial" w:cs="Arial"/>
          <w:sz w:val="18"/>
        </w:rPr>
      </w:pPr>
      <w:r>
        <w:rPr>
          <w:rFonts w:cs="Arial" w:ascii="Arial" w:hAnsi="Arial"/>
          <w:sz w:val="18"/>
        </w:rPr>
      </w:r>
    </w:p>
    <w:p>
      <w:pPr>
        <w:pStyle w:val="Heading1"/>
        <w:ind w:hanging="0" w:start="0"/>
        <w:jc w:val="both"/>
        <w:rPr/>
      </w:pPr>
      <w:r>
        <w:rPr>
          <w:rFonts w:eastAsia="Monotype Sorts" w:cs="Monotype Sorts" w:ascii="Monotype Sorts" w:hAnsi="Monotype Sorts"/>
          <w:b/>
          <w:u w:val="none"/>
        </w:rPr>
        <w:sym w:font="Monotype Sorts" w:char="f072"/>
      </w:r>
      <w:r>
        <w:rPr>
          <w:rFonts w:eastAsia="Arial" w:cs="Arial" w:ascii="Arial" w:hAnsi="Arial"/>
          <w:b/>
          <w:u w:val="none"/>
        </w:rPr>
        <w:t xml:space="preserve"> </w:t>
      </w:r>
      <w:r>
        <w:rPr>
          <w:rFonts w:cs="Arial" w:ascii="Arial" w:hAnsi="Arial"/>
          <w:b/>
        </w:rPr>
        <w:t>International Telecoms Review 2000</w:t>
      </w:r>
    </w:p>
    <w:p>
      <w:pPr>
        <w:pStyle w:val="WW-BodyText2"/>
        <w:rPr/>
      </w:pPr>
      <w:r>
        <w:rPr/>
        <w:t xml:space="preserve">Euromoney’s annual review of the international telecoms market features articles from leading financiers and lawyers giving an expert overview of major developments in the industry. Areas covered included diverging strategies ad financing; alliances, M&amp;A; satellites; telecoms competitiveness in the Asia Pacific; and new technology and competition. The review also contains 18 regional and country reviews; a statistical appendix and a directory of over 500 companies involved in telecoms finance services. </w:t>
      </w:r>
      <w:r>
        <w:rPr>
          <w:b/>
        </w:rPr>
        <w:t>5</w:t>
      </w:r>
      <w:r>
        <w:rPr>
          <w:b/>
          <w:vertAlign w:val="superscript"/>
        </w:rPr>
        <w:t>th</w:t>
      </w:r>
      <w:r>
        <w:rPr>
          <w:b/>
        </w:rPr>
        <w:t xml:space="preserve"> ed. ISBN:1855647346 £75/US$135</w:t>
      </w:r>
    </w:p>
    <w:p>
      <w:pPr>
        <w:pStyle w:val="Heading3"/>
        <w:ind w:hanging="0" w:start="0"/>
        <w:jc w:val="both"/>
        <w:rPr>
          <w:rFonts w:ascii="Arial" w:hAnsi="Arial" w:cs="Arial"/>
          <w:b/>
          <w:sz w:val="18"/>
          <w:lang w:val="en-US"/>
        </w:rPr>
      </w:pPr>
      <w:r>
        <w:rPr>
          <w:rFonts w:cs="Arial" w:ascii="Arial" w:hAnsi="Arial"/>
          <w:b/>
          <w:sz w:val="18"/>
          <w:lang w:val="en-US"/>
        </w:rPr>
      </w:r>
    </w:p>
    <w:p>
      <w:pPr>
        <w:pStyle w:val="Heading3"/>
        <w:ind w:hanging="0" w:start="0"/>
        <w:jc w:val="both"/>
        <w:rPr/>
      </w:pPr>
      <w:r>
        <w:rPr>
          <w:rFonts w:eastAsia="Monotype Sorts" w:cs="Monotype Sorts" w:ascii="Monotype Sorts" w:hAnsi="Monotype Sorts"/>
          <w:b/>
          <w:sz w:val="22"/>
        </w:rPr>
        <w:sym w:font="Monotype Sorts" w:char="f072"/>
      </w:r>
      <w:r>
        <w:rPr>
          <w:rFonts w:eastAsia="Arial" w:cs="Arial" w:ascii="Arial" w:hAnsi="Arial"/>
          <w:b/>
          <w:sz w:val="22"/>
        </w:rPr>
        <w:t xml:space="preserve"> </w:t>
      </w:r>
      <w:r>
        <w:rPr>
          <w:rFonts w:cs="Arial" w:ascii="Arial" w:hAnsi="Arial"/>
          <w:b/>
          <w:sz w:val="22"/>
          <w:u w:val="single"/>
        </w:rPr>
        <w:t>Global Banking &amp; Financial Policy Review 2000/2001</w:t>
      </w:r>
    </w:p>
    <w:p>
      <w:pPr>
        <w:pStyle w:val="BodyText"/>
        <w:ind w:start="-900" w:end="0"/>
        <w:rPr/>
      </w:pPr>
      <w:r>
        <w:rPr>
          <w:rFonts w:cs="Arial" w:ascii="Arial" w:hAnsi="Arial"/>
          <w:sz w:val="18"/>
        </w:rPr>
        <w:t>An essential guide for international financiers featuring exclusive policy statements from over 100 of the world’s top Finance Ministers and Central Bank Governors giving the most complete international overview of commercial banking policy and fiscal and monetary forecasts in a single volume</w:t>
      </w:r>
      <w:r>
        <w:rPr>
          <w:rFonts w:cs="Arial" w:ascii="Arial" w:hAnsi="Arial"/>
          <w:b/>
          <w:sz w:val="18"/>
        </w:rPr>
        <w:t xml:space="preserve">. 5th edition ISBN:185564777X </w:t>
        <w:tab/>
        <w:t>£145/US$240</w:t>
      </w:r>
    </w:p>
    <w:p>
      <w:pPr>
        <w:pStyle w:val="Normal"/>
        <w:ind w:start="-900" w:end="0"/>
        <w:jc w:val="both"/>
        <w:rPr>
          <w:rFonts w:ascii="Arial" w:hAnsi="Arial" w:cs="Arial"/>
          <w:b/>
          <w:sz w:val="18"/>
        </w:rPr>
      </w:pPr>
      <w:r>
        <w:rPr>
          <w:rFonts w:cs="Arial" w:ascii="Arial" w:hAnsi="Arial"/>
          <w:b/>
          <w:sz w:val="18"/>
        </w:rPr>
      </w:r>
    </w:p>
    <w:p>
      <w:pPr>
        <w:pStyle w:val="Heading2"/>
        <w:ind w:hanging="0" w:start="-900" w:end="0"/>
        <w:jc w:val="both"/>
        <w:rPr/>
      </w:pPr>
      <w:r>
        <w:rPr>
          <w:rFonts w:eastAsia="Monotype Sorts" w:cs="Monotype Sorts" w:ascii="Monotype Sorts" w:hAnsi="Monotype Sorts"/>
          <w:b w:val="false"/>
          <w:sz w:val="22"/>
          <w:u w:val="none"/>
        </w:rPr>
        <w:sym w:font="Monotype Sorts" w:char="f072"/>
      </w:r>
      <w:r>
        <w:rPr>
          <w:rFonts w:eastAsia="Arial" w:cs="Arial" w:ascii="Arial" w:hAnsi="Arial"/>
          <w:b w:val="false"/>
          <w:sz w:val="22"/>
          <w:u w:val="none"/>
        </w:rPr>
        <w:t xml:space="preserve"> </w:t>
      </w:r>
      <w:r>
        <w:rPr>
          <w:rFonts w:cs="Arial" w:ascii="Arial" w:hAnsi="Arial"/>
          <w:sz w:val="22"/>
        </w:rPr>
        <w:t>International Commodities Review 2000</w:t>
      </w:r>
    </w:p>
    <w:p>
      <w:pPr>
        <w:pStyle w:val="BodyTextIndent3"/>
        <w:spacing w:before="0" w:after="0"/>
        <w:rPr/>
      </w:pPr>
      <w:r>
        <w:rPr/>
        <w:t xml:space="preserve">New edition focuses on using commodities as a financial tool or as part of an investment portfolio. An ideal read for fund managers and other financial players. Hands-on guide for producers with a need to hedge price volatility caused by disruptions in supply, unusual weather conditions, or general instability in their own specific commodity markets. Articles include oil &amp; gas structured products, gold and gold derivatives, US power markets, and the securitisation of commodities. A new directory of commodities firms, exchange, brokers and traders is also included. </w:t>
        <w:tab/>
      </w:r>
      <w:r>
        <w:rPr>
          <w:b/>
        </w:rPr>
        <w:t>3</w:t>
      </w:r>
      <w:r>
        <w:rPr>
          <w:b/>
          <w:vertAlign w:val="superscript"/>
        </w:rPr>
        <w:t xml:space="preserve">rd </w:t>
      </w:r>
      <w:r>
        <w:rPr>
          <w:b/>
        </w:rPr>
        <w:t xml:space="preserve">edition. ISBN: 185564 737 0 </w:t>
        <w:tab/>
        <w:tab/>
        <w:t>£95/US$170</w:t>
      </w:r>
    </w:p>
    <w:p>
      <w:pPr>
        <w:pStyle w:val="Normal"/>
        <w:ind w:start="-900" w:end="0"/>
        <w:jc w:val="both"/>
        <w:rPr>
          <w:rFonts w:ascii="Arial" w:hAnsi="Arial" w:cs="Arial"/>
          <w:b/>
          <w:sz w:val="18"/>
        </w:rPr>
      </w:pPr>
      <w:r>
        <w:rPr>
          <w:rFonts w:cs="Arial" w:ascii="Arial" w:hAnsi="Arial"/>
          <w:b/>
          <w:sz w:val="18"/>
        </w:rPr>
      </w:r>
    </w:p>
    <w:p>
      <w:pPr>
        <w:pStyle w:val="Heading2"/>
        <w:pBdr>
          <w:top w:val="single" w:sz="6" w:space="1" w:color="000000"/>
          <w:left w:val="single" w:sz="6" w:space="4" w:color="000000"/>
          <w:bottom w:val="single" w:sz="6" w:space="1" w:color="000000"/>
          <w:right w:val="single" w:sz="6" w:space="4" w:color="000000"/>
        </w:pBdr>
        <w:ind w:hanging="0" w:start="-900" w:end="0"/>
        <w:jc w:val="center"/>
        <w:rPr>
          <w:sz w:val="24"/>
          <w:u w:val="none"/>
        </w:rPr>
      </w:pPr>
      <w:r>
        <w:rPr>
          <w:sz w:val="24"/>
          <w:u w:val="none"/>
        </w:rPr>
        <w:t>Order form</w:t>
      </w:r>
    </w:p>
    <w:p>
      <w:pPr>
        <w:pStyle w:val="Normal"/>
        <w:spacing w:before="60" w:after="120"/>
        <w:ind w:start="-900" w:end="0"/>
        <w:rPr>
          <w:rFonts w:ascii="Tahoma" w:hAnsi="Tahoma" w:cs="Tahoma"/>
          <w:sz w:val="18"/>
        </w:rPr>
      </w:pPr>
      <w:r>
        <w:rPr>
          <w:rFonts w:eastAsia="Monotype Sorts" w:cs="Monotype Sorts" w:ascii="Monotype Sorts" w:hAnsi="Monotype Sorts"/>
        </w:rPr>
        <w:sym w:font="Monotype Sorts" w:char="f072"/>
      </w:r>
      <w:r>
        <w:rPr>
          <w:rFonts w:cs="Tahoma" w:ascii="Tahoma" w:hAnsi="Tahoma"/>
          <w:b/>
        </w:rPr>
        <w:t>Yes</w:t>
      </w:r>
      <w:r>
        <w:rPr>
          <w:rFonts w:cs="Tahoma" w:ascii="Tahoma" w:hAnsi="Tahoma"/>
        </w:rPr>
        <w:t>, I would like to order</w:t>
      </w:r>
      <w:r>
        <w:rPr>
          <w:rFonts w:cs="Tahoma" w:ascii="Tahoma" w:hAnsi="Tahoma"/>
          <w:u w:val="single"/>
        </w:rPr>
        <w:tab/>
      </w:r>
      <w:r>
        <w:rPr>
          <w:rFonts w:cs="Tahoma" w:ascii="Tahoma" w:hAnsi="Tahoma"/>
        </w:rPr>
        <w:t xml:space="preserve">copy(ies) of </w:t>
        <w:tab/>
        <w:tab/>
      </w:r>
      <w:r>
        <w:rPr>
          <w:rFonts w:eastAsia="Monotype Sorts" w:cs="Monotype Sorts" w:ascii="Monotype Sorts" w:hAnsi="Monotype Sorts"/>
        </w:rPr>
        <w:sym w:font="Monotype Sorts" w:char="f072"/>
      </w:r>
      <w:r>
        <w:rPr>
          <w:rFonts w:cs="Tahoma" w:ascii="Tahoma" w:hAnsi="Tahoma"/>
        </w:rPr>
        <w:t xml:space="preserve"> Please send me more information on</w:t>
      </w:r>
    </w:p>
    <w:p>
      <w:pPr>
        <w:sectPr>
          <w:headerReference w:type="default" r:id="rId2"/>
          <w:footerReference w:type="default" r:id="rId3"/>
          <w:type w:val="nextPage"/>
          <w:pgSz w:w="12240" w:h="15840"/>
          <w:pgMar w:left="2340" w:right="1530" w:gutter="0" w:header="900" w:top="1080" w:footer="346" w:bottom="1080"/>
          <w:pgNumType w:fmt="decimal"/>
          <w:formProt w:val="false"/>
          <w:textDirection w:val="lrTb"/>
          <w:docGrid w:type="default" w:linePitch="360" w:charSpace="0"/>
        </w:sectPr>
      </w:pPr>
    </w:p>
    <w:p>
      <w:pPr>
        <w:pStyle w:val="Normal"/>
        <w:tabs>
          <w:tab w:val="clear" w:pos="720"/>
          <w:tab w:val="left" w:pos="1170" w:leader="none"/>
        </w:tabs>
        <w:ind w:start="720" w:end="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World Leasing Yearbook 2000</w:t>
      </w:r>
    </w:p>
    <w:p>
      <w:pPr>
        <w:pStyle w:val="Normal"/>
        <w:tabs>
          <w:tab w:val="clear" w:pos="720"/>
          <w:tab w:val="left" w:pos="1170" w:leader="none"/>
        </w:tabs>
        <w:ind w:start="720" w:end="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Airfinance Annual 2000/2001</w:t>
      </w:r>
    </w:p>
    <w:p>
      <w:pPr>
        <w:pStyle w:val="Normal"/>
        <w:tabs>
          <w:tab w:val="clear" w:pos="720"/>
          <w:tab w:val="left" w:pos="1170" w:leader="none"/>
        </w:tabs>
        <w:ind w:start="720" w:end="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Project Finance Yearbook 2000/2001</w:t>
      </w:r>
    </w:p>
    <w:p>
      <w:pPr>
        <w:pStyle w:val="Normal"/>
        <w:tabs>
          <w:tab w:val="clear" w:pos="720"/>
          <w:tab w:val="left" w:pos="1170" w:leader="none"/>
        </w:tabs>
        <w:ind w:start="720" w:end="-18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International Power Finance Review 2000/2001</w:t>
      </w:r>
    </w:p>
    <w:p>
      <w:pPr>
        <w:pStyle w:val="Normal"/>
        <w:tabs>
          <w:tab w:val="clear" w:pos="720"/>
          <w:tab w:val="left" w:pos="1170" w:leader="none"/>
        </w:tabs>
        <w:ind w:start="720" w:end="-18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International Shipping Finance Annual 2000/2001</w:t>
      </w:r>
    </w:p>
    <w:p>
      <w:pPr>
        <w:pStyle w:val="Normal"/>
        <w:tabs>
          <w:tab w:val="clear" w:pos="720"/>
          <w:tab w:val="left" w:pos="1170" w:leader="none"/>
        </w:tabs>
        <w:ind w:start="720" w:end="0"/>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Offshore Finance Yearbook 2000/2001</w:t>
      </w:r>
    </w:p>
    <w:p>
      <w:pPr>
        <w:pStyle w:val="Heading1"/>
        <w:tabs>
          <w:tab w:val="left" w:pos="720" w:leader="none"/>
          <w:tab w:val="left" w:pos="4770" w:leader="none"/>
        </w:tabs>
        <w:ind w:hanging="0" w:start="720" w:end="0"/>
        <w:rPr>
          <w:sz w:val="18"/>
        </w:rPr>
      </w:pPr>
      <w:r>
        <w:rPr>
          <w:rFonts w:eastAsia="Monotype Sorts" w:cs="Monotype Sorts" w:ascii="Monotype Sorts" w:hAnsi="Monotype Sorts"/>
          <w:sz w:val="18"/>
          <w:u w:val="none"/>
        </w:rPr>
        <w:sym w:font="Monotype Sorts" w:char="f06d"/>
      </w:r>
      <w:r>
        <w:rPr>
          <w:sz w:val="18"/>
          <w:u w:val="none"/>
        </w:rPr>
        <w:t xml:space="preserve"> </w:t>
      </w:r>
      <w:r>
        <w:rPr>
          <w:sz w:val="18"/>
          <w:u w:val="none"/>
        </w:rPr>
        <w:t>International M&amp;A Review 2000/2001</w:t>
      </w:r>
    </w:p>
    <w:p>
      <w:pPr>
        <w:pStyle w:val="Heading1"/>
        <w:tabs>
          <w:tab w:val="left" w:pos="720" w:leader="none"/>
          <w:tab w:val="left" w:pos="4770" w:leader="none"/>
        </w:tabs>
        <w:ind w:hanging="0" w:start="720" w:end="-90"/>
        <w:rPr/>
      </w:pPr>
      <w:r>
        <w:rPr>
          <w:rFonts w:eastAsia="Monotype Sorts" w:cs="Monotype Sorts" w:ascii="Monotype Sorts" w:hAnsi="Monotype Sorts"/>
          <w:sz w:val="18"/>
          <w:u w:val="none"/>
        </w:rPr>
        <w:sym w:font="Monotype Sorts" w:char="f06d"/>
      </w:r>
      <w:r>
        <w:rPr>
          <w:sz w:val="18"/>
          <w:u w:val="none"/>
        </w:rPr>
        <w:t xml:space="preserve"> </w:t>
      </w:r>
      <w:r>
        <w:rPr>
          <w:sz w:val="18"/>
          <w:u w:val="none"/>
        </w:rPr>
        <w:t>Venture Capital &amp; Private Equity Yearbook 2000/2001</w:t>
      </w:r>
    </w:p>
    <w:p>
      <w:pPr>
        <w:pStyle w:val="Heading1"/>
        <w:tabs>
          <w:tab w:val="left" w:pos="720" w:leader="none"/>
          <w:tab w:val="left" w:pos="4770" w:leader="none"/>
        </w:tabs>
        <w:ind w:hanging="0" w:start="720" w:end="-90"/>
        <w:rPr/>
      </w:pPr>
      <w:r>
        <w:rPr>
          <w:rFonts w:eastAsia="Monotype Sorts" w:cs="Monotype Sorts" w:ascii="Monotype Sorts" w:hAnsi="Monotype Sorts"/>
          <w:sz w:val="18"/>
          <w:u w:val="none"/>
        </w:rPr>
        <w:sym w:font="Monotype Sorts" w:char="f06d"/>
      </w:r>
      <w:r>
        <w:rPr>
          <w:sz w:val="18"/>
          <w:u w:val="none"/>
        </w:rPr>
        <w:t xml:space="preserve"> </w:t>
      </w:r>
      <w:r>
        <w:rPr>
          <w:sz w:val="18"/>
          <w:u w:val="none"/>
        </w:rPr>
        <w:t>International Privatisation 2000/2001</w:t>
      </w:r>
    </w:p>
    <w:p>
      <w:pPr>
        <w:pStyle w:val="Heading1"/>
        <w:tabs>
          <w:tab w:val="left" w:pos="720" w:leader="none"/>
          <w:tab w:val="left" w:pos="4770" w:leader="none"/>
        </w:tabs>
        <w:ind w:hanging="0" w:start="720" w:end="-90"/>
        <w:rPr/>
      </w:pPr>
      <w:r>
        <w:rPr>
          <w:rFonts w:eastAsia="Monotype Sorts" w:cs="Monotype Sorts" w:ascii="Monotype Sorts" w:hAnsi="Monotype Sorts"/>
          <w:sz w:val="18"/>
          <w:u w:val="none"/>
        </w:rPr>
        <w:sym w:font="Monotype Sorts" w:char="f06d"/>
      </w:r>
      <w:r>
        <w:rPr>
          <w:sz w:val="18"/>
          <w:u w:val="none"/>
        </w:rPr>
        <w:t xml:space="preserve"> </w:t>
      </w:r>
      <w:r>
        <w:rPr>
          <w:sz w:val="18"/>
          <w:u w:val="none"/>
        </w:rPr>
        <w:t>International Telecoms Review 2000</w:t>
      </w:r>
    </w:p>
    <w:p>
      <w:pPr>
        <w:pStyle w:val="Heading1"/>
        <w:tabs>
          <w:tab w:val="left" w:pos="720" w:leader="none"/>
          <w:tab w:val="left" w:pos="4770" w:leader="none"/>
        </w:tabs>
        <w:ind w:hanging="0" w:start="720" w:end="-90"/>
        <w:rPr/>
      </w:pPr>
      <w:r>
        <w:rPr>
          <w:rFonts w:eastAsia="Monotype Sorts" w:cs="Monotype Sorts" w:ascii="Monotype Sorts" w:hAnsi="Monotype Sorts"/>
          <w:sz w:val="18"/>
          <w:u w:val="none"/>
        </w:rPr>
        <w:sym w:font="Monotype Sorts" w:char="f06d"/>
      </w:r>
      <w:r>
        <w:rPr>
          <w:sz w:val="18"/>
          <w:u w:val="none"/>
        </w:rPr>
        <w:t xml:space="preserve"> </w:t>
      </w:r>
      <w:r>
        <w:rPr>
          <w:sz w:val="18"/>
          <w:u w:val="none"/>
        </w:rPr>
        <w:t>Global Banking &amp; Financial Policy Review 2000/2001</w:t>
      </w:r>
    </w:p>
    <w:p>
      <w:pPr>
        <w:pStyle w:val="Normal"/>
        <w:rPr>
          <w:sz w:val="18"/>
          <w:u w:val="none"/>
        </w:rPr>
      </w:pPr>
      <w:r>
        <w:rPr>
          <w:sz w:val="18"/>
          <w:u w:val="none"/>
        </w:rPr>
      </w:r>
    </w:p>
    <w:p>
      <w:pPr>
        <w:pStyle w:val="Normal"/>
        <w:tabs>
          <w:tab w:val="clear" w:pos="720"/>
          <w:tab w:val="left" w:pos="0" w:leader="none"/>
          <w:tab w:val="left" w:pos="4770" w:leader="none"/>
        </w:tabs>
        <w:rPr/>
      </w:pPr>
      <w:r>
        <w:rPr>
          <w:rFonts w:eastAsia="Monotype Sorts" w:cs="Monotype Sorts" w:ascii="Monotype Sorts" w:hAnsi="Monotype Sorts"/>
          <w:sz w:val="18"/>
        </w:rPr>
        <w:sym w:font="Monotype Sorts" w:char="f06d"/>
      </w:r>
      <w:r>
        <w:rPr>
          <w:rFonts w:eastAsia="Tahoma" w:cs="Tahoma" w:ascii="Tahoma" w:hAnsi="Tahoma"/>
          <w:sz w:val="18"/>
        </w:rPr>
        <w:t xml:space="preserve"> </w:t>
      </w:r>
      <w:r>
        <w:rPr>
          <w:rFonts w:cs="Tahoma" w:ascii="Tahoma" w:hAnsi="Tahoma"/>
          <w:sz w:val="18"/>
        </w:rPr>
        <w:t>International Commodities Review 2000</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International Investment Review 2000</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European Electronic Banking Review 2000</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International Correspondent Banking Review 2000/2001</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International Electronic Trading Review 2000</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Euro-Payments Review 2000/2001</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Transportation Infrastructure Review 2000/2001</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Internet Finance Review 2000/2001</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International Real Estate Finance Yearbook 2000/2001</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International Oil and Gas Finance Review 2000</w:t>
      </w:r>
    </w:p>
    <w:p>
      <w:pPr>
        <w:pStyle w:val="Normal"/>
        <w:tabs>
          <w:tab w:val="clear" w:pos="720"/>
          <w:tab w:val="left" w:pos="0" w:leader="none"/>
        </w:tabs>
        <w:rPr/>
      </w:pPr>
      <w:r>
        <w:rPr>
          <w:rFonts w:eastAsia="Monotype Sorts" w:cs="Monotype Sorts" w:ascii="Monotype Sorts" w:hAnsi="Monotype Sorts"/>
          <w:sz w:val="18"/>
        </w:rPr>
        <w:sym w:font="Monotype Sorts" w:char="f06d"/>
      </w:r>
      <w:r>
        <w:rPr>
          <w:rFonts w:cs="Tahoma" w:ascii="Tahoma" w:hAnsi="Tahoma"/>
          <w:sz w:val="18"/>
        </w:rPr>
        <w:t>Global Utilities Finance 2000</w:t>
      </w:r>
    </w:p>
    <w:p>
      <w:pPr>
        <w:sectPr>
          <w:type w:val="continuous"/>
          <w:pgSz w:w="12240" w:h="15840"/>
          <w:pgMar w:left="720" w:right="1440" w:gutter="0" w:header="900" w:top="1080" w:footer="346" w:bottom="1080"/>
          <w:cols w:num="2" w:equalWidth="false" w:sep="false">
            <w:col w:w="5175" w:space="270"/>
            <w:col w:w="4635"/>
          </w:cols>
          <w:formProt w:val="false"/>
          <w:textDirection w:val="lrTb"/>
          <w:docGrid w:type="default" w:linePitch="360" w:charSpace="0"/>
        </w:sectPr>
      </w:pPr>
    </w:p>
    <w:p>
      <w:pPr>
        <w:pStyle w:val="Normal"/>
        <w:ind w:start="634" w:end="0"/>
        <w:rPr/>
      </w:pPr>
      <w:r>
        <w:rPr>
          <w:rFonts w:cs="Tahoma" w:ascii="Tahoma" w:hAnsi="Tahoma"/>
        </w:rPr>
        <w:t>Name</w:t>
      </w:r>
      <w:r>
        <w:rPr>
          <w:rFonts w:cs="Tahoma" w:ascii="Tahoma" w:hAnsi="Tahoma"/>
          <w:u w:val="single"/>
        </w:rPr>
        <w:tab/>
        <w:tab/>
        <w:tab/>
        <w:tab/>
        <w:tab/>
        <w:tab/>
        <w:tab/>
      </w:r>
      <w:r>
        <w:rPr>
          <w:rFonts w:cs="Tahoma" w:ascii="Tahoma" w:hAnsi="Tahoma"/>
        </w:rPr>
        <w:t xml:space="preserve">Position </w:t>
      </w:r>
      <w:r>
        <w:rPr>
          <w:rFonts w:cs="Tahoma" w:ascii="Tahoma" w:hAnsi="Tahoma"/>
          <w:u w:val="single"/>
        </w:rPr>
        <w:tab/>
        <w:tab/>
        <w:tab/>
        <w:tab/>
        <w:tab/>
      </w:r>
    </w:p>
    <w:p>
      <w:pPr>
        <w:pStyle w:val="Normal"/>
        <w:ind w:start="634" w:end="0"/>
        <w:rPr/>
      </w:pPr>
      <w:r>
        <w:rPr>
          <w:rFonts w:cs="Tahoma" w:ascii="Tahoma" w:hAnsi="Tahoma"/>
        </w:rPr>
        <w:t>Company</w:t>
      </w:r>
      <w:r>
        <w:rPr>
          <w:rFonts w:cs="Tahoma" w:ascii="Tahoma" w:hAnsi="Tahoma"/>
          <w:u w:val="single"/>
        </w:rPr>
        <w:t xml:space="preserve"> </w:t>
        <w:tab/>
        <w:tab/>
        <w:tab/>
        <w:tab/>
        <w:tab/>
        <w:tab/>
        <w:tab/>
        <w:tab/>
        <w:tab/>
        <w:tab/>
        <w:tab/>
        <w:tab/>
      </w:r>
    </w:p>
    <w:p>
      <w:pPr>
        <w:pStyle w:val="Normal"/>
        <w:ind w:start="634" w:end="0"/>
        <w:rPr/>
      </w:pPr>
      <w:r>
        <w:rPr>
          <w:rFonts w:cs="Tahoma" w:ascii="Tahoma" w:hAnsi="Tahoma"/>
        </w:rPr>
        <w:t>Address</w:t>
        <w:tab/>
      </w:r>
      <w:r>
        <w:rPr>
          <w:rFonts w:cs="Tahoma" w:ascii="Tahoma" w:hAnsi="Tahoma"/>
          <w:u w:val="single"/>
        </w:rPr>
        <w:tab/>
        <w:tab/>
        <w:tab/>
        <w:tab/>
        <w:tab/>
        <w:tab/>
        <w:tab/>
        <w:tab/>
        <w:tab/>
        <w:tab/>
        <w:tab/>
        <w:tab/>
      </w:r>
    </w:p>
    <w:p>
      <w:pPr>
        <w:pStyle w:val="Normal"/>
        <w:ind w:start="634" w:end="0"/>
        <w:rPr>
          <w:rFonts w:ascii="Tahoma" w:hAnsi="Tahoma" w:cs="Tahoma"/>
          <w:u w:val="single"/>
        </w:rPr>
      </w:pPr>
      <w:r>
        <w:rPr>
          <w:rFonts w:cs="Tahoma" w:ascii="Tahoma" w:hAnsi="Tahoma"/>
          <w:u w:val="single"/>
        </w:rPr>
        <w:tab/>
        <w:tab/>
        <w:tab/>
        <w:tab/>
        <w:tab/>
        <w:tab/>
        <w:tab/>
        <w:tab/>
        <w:tab/>
        <w:tab/>
        <w:tab/>
        <w:tab/>
        <w:tab/>
        <w:tab/>
      </w:r>
    </w:p>
    <w:p>
      <w:pPr>
        <w:pStyle w:val="Normal"/>
        <w:tabs>
          <w:tab w:val="clear" w:pos="720"/>
          <w:tab w:val="left" w:pos="4320" w:leader="none"/>
          <w:tab w:val="left" w:pos="7470" w:leader="none"/>
        </w:tabs>
        <w:ind w:start="634" w:end="0"/>
        <w:rPr/>
      </w:pPr>
      <w:r>
        <w:rPr>
          <w:rFonts w:cs="Tahoma" w:ascii="Tahoma" w:hAnsi="Tahoma"/>
        </w:rPr>
        <w:t xml:space="preserve">Town </w:t>
      </w:r>
      <w:r>
        <w:rPr>
          <w:rFonts w:cs="Tahoma" w:ascii="Tahoma" w:hAnsi="Tahoma"/>
          <w:u w:val="single"/>
        </w:rPr>
        <w:tab/>
      </w:r>
      <w:r>
        <w:rPr>
          <w:rFonts w:cs="Tahoma" w:ascii="Tahoma" w:hAnsi="Tahoma"/>
        </w:rPr>
        <w:t xml:space="preserve">Post code </w:t>
      </w:r>
      <w:r>
        <w:rPr>
          <w:rFonts w:cs="Tahoma" w:ascii="Tahoma" w:hAnsi="Tahoma"/>
          <w:u w:val="single"/>
        </w:rPr>
        <w:tab/>
        <w:tab/>
      </w:r>
      <w:r>
        <w:rPr>
          <w:rFonts w:cs="Tahoma" w:ascii="Tahoma" w:hAnsi="Tahoma"/>
        </w:rPr>
        <w:t>Country</w:t>
        <w:tab/>
      </w:r>
      <w:r>
        <w:rPr>
          <w:rFonts w:cs="Tahoma" w:ascii="Tahoma" w:hAnsi="Tahoma"/>
          <w:u w:val="single"/>
        </w:rPr>
        <w:tab/>
        <w:tab/>
      </w:r>
    </w:p>
    <w:p>
      <w:pPr>
        <w:pStyle w:val="Normal"/>
        <w:ind w:start="634" w:end="0"/>
        <w:rPr/>
      </w:pPr>
      <w:r>
        <w:rPr>
          <w:rFonts w:cs="Tahoma" w:ascii="Tahoma" w:hAnsi="Tahoma"/>
        </w:rPr>
        <w:t xml:space="preserve">Tel: </w:t>
      </w:r>
      <w:r>
        <w:rPr>
          <w:rFonts w:cs="Tahoma" w:ascii="Tahoma" w:hAnsi="Tahoma"/>
          <w:u w:val="single"/>
        </w:rPr>
        <w:tab/>
        <w:tab/>
        <w:tab/>
        <w:tab/>
        <w:tab/>
        <w:tab/>
        <w:tab/>
      </w:r>
      <w:r>
        <w:rPr>
          <w:rFonts w:cs="Tahoma" w:ascii="Tahoma" w:hAnsi="Tahoma"/>
        </w:rPr>
        <w:t>Fax</w:t>
      </w:r>
      <w:r>
        <w:rPr>
          <w:rFonts w:cs="Tahoma" w:ascii="Tahoma" w:hAnsi="Tahoma"/>
          <w:u w:val="single"/>
        </w:rPr>
        <w:t>:</w:t>
        <w:tab/>
        <w:tab/>
        <w:tab/>
        <w:tab/>
        <w:tab/>
        <w:tab/>
      </w:r>
    </w:p>
    <w:p>
      <w:pPr>
        <w:pStyle w:val="Normal"/>
        <w:ind w:start="634" w:end="0"/>
        <w:rPr/>
      </w:pPr>
      <w:r>
        <w:rPr>
          <w:rFonts w:cs="Tahoma" w:ascii="Tahoma" w:hAnsi="Tahoma"/>
        </w:rPr>
        <w:t>E-mail</w:t>
      </w:r>
      <w:r>
        <w:rPr>
          <w:rFonts w:cs="Tahoma" w:ascii="Tahoma" w:hAnsi="Tahoma"/>
          <w:u w:val="single"/>
        </w:rPr>
        <w:tab/>
        <w:tab/>
        <w:tab/>
        <w:tab/>
        <w:tab/>
        <w:tab/>
        <w:tab/>
        <w:tab/>
        <w:tab/>
        <w:tab/>
        <w:tab/>
        <w:tab/>
        <w:tab/>
      </w:r>
    </w:p>
    <w:p>
      <w:pPr>
        <w:pStyle w:val="Normal"/>
        <w:tabs>
          <w:tab w:val="clear" w:pos="720"/>
          <w:tab w:val="left" w:pos="3600" w:leader="none"/>
          <w:tab w:val="left" w:pos="4680" w:leader="none"/>
          <w:tab w:val="left" w:pos="5760" w:leader="none"/>
          <w:tab w:val="left" w:pos="7380" w:leader="none"/>
        </w:tabs>
        <w:spacing w:before="60" w:after="0"/>
        <w:ind w:start="720" w:end="0"/>
        <w:rPr/>
      </w:pPr>
      <w:r>
        <w:rPr>
          <w:rFonts w:eastAsia="Monotype Sorts" w:cs="Monotype Sorts" w:ascii="Monotype Sorts" w:hAnsi="Monotype Sorts"/>
          <w:sz w:val="16"/>
        </w:rPr>
        <w:sym w:font="Monotype Sorts" w:char="f06d"/>
      </w:r>
      <w:r>
        <w:rPr>
          <w:rFonts w:eastAsia="Tahoma" w:cs="Tahoma" w:ascii="Tahoma" w:hAnsi="Tahoma"/>
          <w:sz w:val="16"/>
        </w:rPr>
        <w:t xml:space="preserve"> </w:t>
      </w:r>
      <w:r>
        <w:rPr>
          <w:rFonts w:cs="Tahoma" w:ascii="Tahoma" w:hAnsi="Tahoma"/>
        </w:rPr>
        <w:t xml:space="preserve">Please charge my card </w:t>
        <w:tab/>
      </w:r>
      <w:r>
        <w:rPr>
          <w:rFonts w:eastAsia="Monotype Sorts" w:cs="Monotype Sorts" w:ascii="Monotype Sorts" w:hAnsi="Monotype Sorts"/>
        </w:rPr>
        <w:sym w:font="Monotype Sorts" w:char="f06d"/>
      </w:r>
      <w:r>
        <w:rPr>
          <w:rFonts w:cs="Tahoma" w:ascii="Tahoma" w:hAnsi="Tahoma"/>
        </w:rPr>
        <w:t xml:space="preserve"> Amex</w:t>
        <w:tab/>
        <w:t xml:space="preserve"> </w:t>
      </w:r>
      <w:r>
        <w:rPr>
          <w:rFonts w:eastAsia="Monotype Sorts" w:cs="Monotype Sorts" w:ascii="Monotype Sorts" w:hAnsi="Monotype Sorts"/>
        </w:rPr>
        <w:sym w:font="Monotype Sorts" w:char="f06d"/>
      </w:r>
      <w:r>
        <w:rPr>
          <w:rFonts w:cs="Tahoma" w:ascii="Tahoma" w:hAnsi="Tahoma"/>
        </w:rPr>
        <w:t xml:space="preserve"> Visa </w:t>
        <w:tab/>
      </w:r>
      <w:r>
        <w:rPr>
          <w:rFonts w:eastAsia="Monotype Sorts" w:cs="Monotype Sorts" w:ascii="Monotype Sorts" w:hAnsi="Monotype Sorts"/>
        </w:rPr>
        <w:sym w:font="Monotype Sorts" w:char="f06d"/>
      </w:r>
      <w:r>
        <w:rPr>
          <w:rFonts w:cs="Tahoma" w:ascii="Tahoma" w:hAnsi="Tahoma"/>
        </w:rPr>
        <w:t xml:space="preserve"> Mastercard </w:t>
        <w:tab/>
        <w:t xml:space="preserve">for </w:t>
      </w:r>
      <w:r>
        <w:rPr>
          <w:rFonts w:cs="Tahoma" w:ascii="Tahoma" w:hAnsi="Tahoma"/>
          <w:u w:val="single"/>
        </w:rPr>
        <w:tab/>
        <w:tab/>
        <w:t xml:space="preserve"> </w:t>
        <w:tab/>
      </w:r>
    </w:p>
    <w:p>
      <w:pPr>
        <w:pStyle w:val="Normal"/>
        <w:spacing w:before="60" w:after="0"/>
        <w:ind w:start="720" w:end="0"/>
        <w:rPr>
          <w:rFonts w:ascii="Tahoma" w:hAnsi="Tahoma" w:cs="Tahoma"/>
        </w:rPr>
      </w:pPr>
      <w:r>
        <w:rPr>
          <w:rFonts w:cs="Tahoma" w:ascii="Tahoma" w:hAnsi="Tahoma"/>
        </w:rPr>
        <w:tab/>
        <w:t>Card number</w:t>
      </w:r>
      <w:r>
        <w:rPr>
          <w:rFonts w:cs="Tahoma" w:ascii="Tahoma" w:hAnsi="Tahoma"/>
          <w:u w:val="single"/>
        </w:rPr>
        <w:tab/>
        <w:tab/>
        <w:tab/>
        <w:tab/>
        <w:tab/>
        <w:t>_______</w:t>
        <w:tab/>
        <w:t>__</w:t>
      </w:r>
      <w:r>
        <w:rPr>
          <w:rFonts w:cs="Tahoma" w:ascii="Tahoma" w:hAnsi="Tahoma"/>
        </w:rPr>
        <w:t>Expiry date</w:t>
      </w:r>
      <w:r>
        <w:rPr>
          <w:rFonts w:cs="Tahoma" w:ascii="Tahoma" w:hAnsi="Tahoma"/>
          <w:u w:val="single"/>
        </w:rPr>
        <w:tab/>
        <w:tab/>
      </w:r>
    </w:p>
    <w:p>
      <w:pPr>
        <w:pStyle w:val="Normal"/>
        <w:ind w:start="720" w:end="0"/>
        <w:rPr>
          <w:rFonts w:ascii="Tahoma" w:hAnsi="Tahoma" w:cs="Tahoma"/>
          <w:b/>
        </w:rPr>
      </w:pPr>
      <w:r>
        <w:rPr>
          <w:rFonts w:eastAsia="Monotype Sorts" w:cs="Monotype Sorts" w:ascii="Monotype Sorts" w:hAnsi="Monotype Sorts"/>
        </w:rPr>
        <w:sym w:font="Monotype Sorts" w:char="f06d"/>
      </w:r>
      <w:r>
        <w:rPr>
          <w:rFonts w:eastAsia="Tahoma" w:cs="Tahoma" w:ascii="Tahoma" w:hAnsi="Tahoma"/>
        </w:rPr>
        <w:t xml:space="preserve"> </w:t>
      </w:r>
      <w:r>
        <w:rPr>
          <w:rFonts w:cs="Tahoma" w:ascii="Tahoma" w:hAnsi="Tahoma"/>
        </w:rPr>
        <w:t>Please invoice me</w:t>
        <w:tab/>
        <w:tab/>
        <w:tab/>
        <w:tab/>
        <w:tab/>
      </w:r>
      <w:r>
        <w:rPr>
          <w:rFonts w:cs="Tahoma" w:ascii="Tahoma" w:hAnsi="Tahoma"/>
          <w:b/>
          <w:sz w:val="24"/>
        </w:rPr>
        <w:t>19900</w:t>
        <w:tab/>
      </w:r>
      <w:r>
        <w:rPr>
          <w:rFonts w:cs="Tahoma" w:ascii="Tahoma" w:hAnsi="Tahoma"/>
        </w:rPr>
        <w:tab/>
      </w:r>
    </w:p>
    <w:p>
      <w:pPr>
        <w:pStyle w:val="Normal"/>
        <w:pBdr>
          <w:top w:val="single" w:sz="6" w:space="1" w:color="000000"/>
          <w:left w:val="single" w:sz="6" w:space="4" w:color="000000"/>
          <w:bottom w:val="single" w:sz="6" w:space="1" w:color="000000"/>
          <w:right w:val="single" w:sz="6" w:space="4" w:color="000000"/>
        </w:pBdr>
        <w:ind w:start="720" w:end="0"/>
        <w:jc w:val="center"/>
        <w:rPr>
          <w:rFonts w:ascii="Tahoma" w:hAnsi="Tahoma" w:cs="Tahoma"/>
          <w:b/>
          <w:sz w:val="28"/>
        </w:rPr>
      </w:pPr>
      <w:r>
        <w:rPr>
          <w:rFonts w:cs="Tahoma" w:ascii="Tahoma" w:hAnsi="Tahoma"/>
          <w:b/>
          <w:sz w:val="28"/>
        </w:rPr>
        <w:t xml:space="preserve">To order, please call the Hotline </w:t>
      </w:r>
    </w:p>
    <w:p>
      <w:pPr>
        <w:pStyle w:val="Normal"/>
        <w:pBdr>
          <w:top w:val="single" w:sz="6" w:space="1" w:color="000000"/>
          <w:left w:val="single" w:sz="6" w:space="4" w:color="000000"/>
          <w:bottom w:val="single" w:sz="6" w:space="1" w:color="000000"/>
          <w:right w:val="single" w:sz="6" w:space="4" w:color="000000"/>
        </w:pBdr>
        <w:ind w:start="720" w:end="0"/>
        <w:jc w:val="center"/>
        <w:rPr/>
      </w:pPr>
      <w:r>
        <w:rPr>
          <w:rFonts w:cs="Tahoma" w:ascii="Tahoma" w:hAnsi="Tahoma"/>
          <w:b/>
          <w:sz w:val="28"/>
        </w:rPr>
        <w:t xml:space="preserve">Or Email </w:t>
      </w:r>
      <w:r>
        <w:rPr>
          <w:rStyle w:val="Hyperlink"/>
          <w:sz w:val="28"/>
        </w:rPr>
        <w:t>hotline@euromoney.com</w:t>
      </w:r>
    </w:p>
    <w:sectPr>
      <w:type w:val="continuous"/>
      <w:pgSz w:w="12240" w:h="15840"/>
      <w:pgMar w:left="720" w:right="1440" w:gutter="0" w:header="900" w:top="1080" w:footer="346"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000000" w:val="clear"/>
      <w:jc w:val="center"/>
      <w:rPr>
        <w:b/>
      </w:rPr>
    </w:pPr>
    <w:r>
      <w:rPr>
        <w:b/>
      </w:rPr>
      <w:t>TO ORDER PLEASE CALL THE HOTLINE ON 212-224-3570, FAX 212-224-3553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rPr>
        <w:b/>
      </w:rPr>
    </w:pPr>
    <w:r>
      <w:rPr>
        <w:b/>
      </w:rPr>
      <w:t>EUROMONEY INSTITUTIONAL INVESTOR PLC: YEARBOOKS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2"/>
      <w:u w:val="single"/>
      <w:lang w:val="en-GB"/>
    </w:rPr>
  </w:style>
  <w:style w:type="paragraph" w:styleId="Heading2">
    <w:name w:val="heading 2"/>
    <w:basedOn w:val="Normal"/>
    <w:next w:val="Normal"/>
    <w:qFormat/>
    <w:pPr>
      <w:keepNext w:val="true"/>
      <w:numPr>
        <w:ilvl w:val="1"/>
        <w:numId w:val="1"/>
      </w:numPr>
      <w:outlineLvl w:val="1"/>
    </w:pPr>
    <w:rPr>
      <w:b/>
      <w:sz w:val="28"/>
      <w:u w:val="single"/>
      <w:lang w:val="en-GB"/>
    </w:rPr>
  </w:style>
  <w:style w:type="paragraph" w:styleId="Heading3">
    <w:name w:val="heading 3"/>
    <w:basedOn w:val="Normal"/>
    <w:next w:val="Normal"/>
    <w:qFormat/>
    <w:pPr>
      <w:keepNext w:val="true"/>
      <w:numPr>
        <w:ilvl w:val="2"/>
        <w:numId w:val="1"/>
      </w:numPr>
      <w:outlineLvl w:val="2"/>
    </w:pPr>
    <w:rPr>
      <w:rFonts w:ascii="Tahoma" w:hAnsi="Tahoma" w:cs="Tahoma"/>
      <w:sz w:val="24"/>
      <w:lang w:val="en-GB"/>
    </w:rPr>
  </w:style>
  <w:style w:type="paragraph" w:styleId="Heading4">
    <w:name w:val="heading 4"/>
    <w:basedOn w:val="Normal"/>
    <w:next w:val="Normal"/>
    <w:qFormat/>
    <w:pPr>
      <w:keepNext w:val="true"/>
      <w:numPr>
        <w:ilvl w:val="3"/>
        <w:numId w:val="1"/>
      </w:numPr>
      <w:jc w:val="center"/>
      <w:outlineLvl w:val="3"/>
    </w:pPr>
    <w:rPr>
      <w:rFonts w:ascii="Tahoma" w:hAnsi="Tahoma" w:cs="Tahoma"/>
      <w:b/>
      <w:sz w:val="40"/>
      <w:lang w:val="en-GB"/>
    </w:rPr>
  </w:style>
  <w:style w:type="paragraph" w:styleId="Heading5">
    <w:name w:val="heading 5"/>
    <w:basedOn w:val="Normal"/>
    <w:next w:val="Normal"/>
    <w:qFormat/>
    <w:pPr>
      <w:keepNext w:val="true"/>
      <w:numPr>
        <w:ilvl w:val="4"/>
        <w:numId w:val="1"/>
      </w:numPr>
      <w:jc w:val="center"/>
      <w:outlineLvl w:val="4"/>
    </w:pPr>
    <w:rPr>
      <w:rFonts w:ascii="Tahoma" w:hAnsi="Tahoma" w:cs="Tahoma"/>
      <w:sz w:val="28"/>
      <w:lang w:val="en-GB"/>
    </w:rPr>
  </w:style>
  <w:style w:type="paragraph" w:styleId="Heading6">
    <w:name w:val="heading 6"/>
    <w:basedOn w:val="Normal"/>
    <w:next w:val="Normal"/>
    <w:qFormat/>
    <w:pPr>
      <w:keepNext w:val="true"/>
      <w:numPr>
        <w:ilvl w:val="5"/>
        <w:numId w:val="1"/>
      </w:numPr>
      <w:outlineLvl w:val="5"/>
    </w:pPr>
    <w:rPr>
      <w:rFonts w:ascii="Tahoma" w:hAnsi="Tahoma" w:cs="Tahoma"/>
      <w:b/>
      <w:sz w:val="18"/>
      <w:u w:val="single"/>
      <w:lang w:val="en-GB"/>
    </w:rPr>
  </w:style>
  <w:style w:type="paragraph" w:styleId="Heading7">
    <w:name w:val="heading 7"/>
    <w:basedOn w:val="Normal"/>
    <w:next w:val="Normal"/>
    <w:qFormat/>
    <w:pPr>
      <w:keepNext w:val="true"/>
      <w:numPr>
        <w:ilvl w:val="6"/>
        <w:numId w:val="1"/>
      </w:numPr>
      <w:outlineLvl w:val="6"/>
    </w:pPr>
    <w:rPr>
      <w:rFonts w:ascii="Tahoma" w:hAnsi="Tahoma" w:cs="Tahoma"/>
      <w:sz w:val="18"/>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ahoma" w:hAnsi="Tahoma" w:cs="Tahoma"/>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lang w:val="en-GB"/>
    </w:rPr>
  </w:style>
  <w:style w:type="paragraph" w:styleId="CommentText">
    <w:name w:val="Comment Text"/>
    <w:basedOn w:val="Normal"/>
    <w:qFormat/>
    <w:pPr/>
    <w:rPr>
      <w:lang w:val="en-GB"/>
    </w:rPr>
  </w:style>
  <w:style w:type="paragraph" w:styleId="BodyText3">
    <w:name w:val="Body Text 3"/>
    <w:basedOn w:val="Normal"/>
    <w:qFormat/>
    <w:pPr/>
    <w:rPr>
      <w:rFonts w:ascii="Tahoma" w:hAnsi="Tahoma" w:cs="Tahoma"/>
      <w:sz w:val="18"/>
      <w:lang w:val="en-GB"/>
    </w:rPr>
  </w:style>
  <w:style w:type="paragraph" w:styleId="BodyTextIndent2">
    <w:name w:val="Body Text Indent 2"/>
    <w:basedOn w:val="Normal"/>
    <w:qFormat/>
    <w:pPr>
      <w:ind w:hanging="0" w:start="-900" w:end="0"/>
    </w:pPr>
    <w:rPr>
      <w:lang w:val="en-GB"/>
    </w:rPr>
  </w:style>
  <w:style w:type="paragraph" w:styleId="BodyTextIndent3">
    <w:name w:val="Body Text Indent 3"/>
    <w:basedOn w:val="Normal"/>
    <w:qFormat/>
    <w:pPr>
      <w:spacing w:before="60" w:after="0"/>
      <w:ind w:hanging="0" w:start="-900" w:end="0"/>
      <w:jc w:val="both"/>
    </w:pPr>
    <w:rPr>
      <w:rFonts w:ascii="Arial" w:hAnsi="Arial" w:cs="Arial"/>
      <w:sz w:val="18"/>
      <w:lang w:val="en-GB"/>
    </w:rPr>
  </w:style>
  <w:style w:type="paragraph" w:styleId="WW-BodyText2">
    <w:name w:val="WW-Body Text 2"/>
    <w:basedOn w:val="Normal"/>
    <w:qFormat/>
    <w:pPr>
      <w:ind w:hanging="0" w:start="-900" w:end="0"/>
    </w:pPr>
    <w:rPr>
      <w:rFonts w:ascii="Arial" w:hAnsi="Arial" w:cs="Arial"/>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2000-07-11T11:44:00Z</dcterms:created>
  <dc:creator>Julian Davies</dc:creator>
  <dc:description/>
  <dc:language>en-CA</dc:language>
  <cp:lastModifiedBy>Institutional Investor</cp:lastModifiedBy>
  <dcterms:modified xsi:type="dcterms:W3CDTF">2000-07-11T11:44:00Z</dcterms:modified>
  <cp:revision>2</cp:revision>
  <dc:subject/>
  <dc:title>INTRODUCING THE NEW EUROMONEY YEARBOOKS</dc:title>
</cp:coreProperties>
</file>