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ssageHeaderFirst"/>
        <w:spacing w:before="220" w:after="120"/>
        <w:rPr>
          <w:rFonts w:ascii="Courier" w:hAnsi="Courier" w:cs="Courier"/>
        </w:rPr>
      </w:pPr>
      <w:r>
        <w:rPr>
          <w:rStyle w:val="MessageHeaderLabel"/>
          <w:spacing w:val="-25"/>
        </w:rPr>
        <w:t>T</w:t>
      </w:r>
      <w:r>
        <w:rPr>
          <w:rStyle w:val="MessageHeaderLabel"/>
        </w:rPr>
        <w:t>o:</w:t>
      </w:r>
      <w:r>
        <w:rPr/>
        <w:tab/>
      </w:r>
      <w:r>
        <w:rPr>
          <w:rFonts w:cs="CG Times" w:ascii="CG Times" w:hAnsi="CG Times"/>
        </w:rPr>
        <w:t>Jeff Shankman</w:t>
      </w:r>
    </w:p>
    <w:p>
      <w:pPr>
        <w:pStyle w:val="MessageHeader"/>
        <w:rPr/>
      </w:pPr>
      <w:r>
        <w:rPr>
          <w:rStyle w:val="MessageHeaderLabel"/>
        </w:rPr>
        <w:t>From:</w:t>
      </w:r>
      <w:r>
        <w:rPr/>
        <w:tab/>
      </w:r>
      <w:r>
        <w:rPr>
          <w:rFonts w:cs="CG Times" w:ascii="CG Times" w:hAnsi="CG Times"/>
        </w:rPr>
        <w:t>Fletch Sturm</w:t>
      </w:r>
    </w:p>
    <w:p>
      <w:pPr>
        <w:pStyle w:val="MessageHeader"/>
        <w:rPr>
          <w:rFonts w:ascii="CG Times" w:hAnsi="CG Times" w:cs="CG Times"/>
        </w:rPr>
      </w:pPr>
      <w:r>
        <w:rPr>
          <w:rStyle w:val="MessageHeaderLabel"/>
        </w:rPr>
        <w:t>Date:</w:t>
      </w:r>
      <w:r>
        <w:rPr/>
        <w:tab/>
      </w:r>
      <w:r>
        <w:rPr>
          <w:rFonts w:cs="CG Times" w:ascii="CG Times" w:hAnsi="CG Times"/>
        </w:rPr>
        <w:fldChar w:fldCharType="begin"/>
      </w:r>
      <w:r>
        <w:rPr>
          <w:rFonts w:cs="CG Times" w:ascii="CG Times" w:hAnsi="CG Times"/>
        </w:rPr>
        <w:instrText xml:space="preserve"> DATE \@"MMMM\ d', 'yyyy" </w:instrText>
      </w:r>
      <w:r>
        <w:rPr>
          <w:rFonts w:cs="CG Times" w:ascii="CG Times" w:hAnsi="CG Times"/>
        </w:rPr>
        <w:fldChar w:fldCharType="separate"/>
      </w:r>
      <w:r>
        <w:rPr>
          <w:rFonts w:cs="CG Times" w:ascii="CG Times" w:hAnsi="CG Times"/>
        </w:rPr>
        <w:t>September 28, 2025</w:t>
      </w:r>
      <w:r>
        <w:rPr>
          <w:rFonts w:cs="CG Times" w:ascii="CG Times" w:hAnsi="CG Times"/>
        </w:rPr>
        <w:fldChar w:fldCharType="end"/>
      </w:r>
    </w:p>
    <w:p>
      <w:pPr>
        <w:pStyle w:val="MessageHeaderLast"/>
        <w:rPr/>
      </w:pPr>
      <w:r>
        <w:rPr>
          <w:rStyle w:val="MessageHeaderLabel"/>
        </w:rPr>
        <w:t>Re:</w:t>
      </w:r>
      <w:r>
        <w:rPr/>
        <w:tab/>
      </w:r>
      <w:r>
        <w:rPr>
          <w:rFonts w:cs="CG Times" w:ascii="CG Times" w:hAnsi="CG Times"/>
        </w:rPr>
        <w:t>1999 Achievements</w:t>
      </w:r>
    </w:p>
    <w:p>
      <w:pPr>
        <w:pStyle w:val="BodyText"/>
        <w:rPr>
          <w:rFonts w:ascii="CG Times" w:hAnsi="CG Times" w:cs="CG Times"/>
        </w:rPr>
      </w:pPr>
      <w:r>
        <w:rPr>
          <w:rFonts w:cs="CG Times" w:ascii="CG Times" w:hAnsi="CG Times"/>
        </w:rPr>
        <w:t>Per your request, below is a list of my significant achievements for 1999:</w:t>
      </w:r>
    </w:p>
    <w:p>
      <w:pPr>
        <w:pStyle w:val="BodyText"/>
        <w:rPr/>
      </w:pPr>
      <w:r>
        <w:rPr>
          <w:rFonts w:cs="CG Times" w:ascii="CG Times" w:hAnsi="CG Times"/>
          <w:b/>
          <w:u w:val="single"/>
        </w:rPr>
        <w:t>Generated net P&amp;L in excess of $10mm</w:t>
      </w:r>
      <w:r>
        <w:rPr>
          <w:rFonts w:cs="CG Times" w:ascii="CG Times" w:hAnsi="CG Times"/>
        </w:rPr>
        <w:t xml:space="preserve"> – Consistently profitable since returning to Enron two years ago.</w:t>
      </w:r>
    </w:p>
    <w:p>
      <w:pPr>
        <w:pStyle w:val="BodyText"/>
        <w:rPr/>
      </w:pPr>
      <w:r>
        <w:rPr>
          <w:rFonts w:cs="CG Times" w:ascii="CG Times" w:hAnsi="CG Times"/>
          <w:b/>
          <w:u w:val="single"/>
        </w:rPr>
        <w:t>Co-Managed Central Desk as backup in desk director’s absence</w:t>
      </w:r>
      <w:r>
        <w:rPr>
          <w:rFonts w:cs="CG Times" w:ascii="CG Times" w:hAnsi="CG Times"/>
        </w:rPr>
        <w:t xml:space="preserve"> – Provided support to physical traders in making daily buy/sell decisions on over 3 bcf/d across all locations.   Worked closely with desk director implementing physical and financial trading strategies.</w:t>
      </w:r>
    </w:p>
    <w:p>
      <w:pPr>
        <w:pStyle w:val="BodyText"/>
        <w:rPr/>
      </w:pPr>
      <w:r>
        <w:rPr>
          <w:rFonts w:cs="CG Times" w:ascii="CG Times" w:hAnsi="CG Times"/>
          <w:b/>
          <w:u w:val="single"/>
        </w:rPr>
        <w:t>One of three-member team from trading involved in pricing, closing, and managing Peoples Gas Light &amp; Coke asset management transaction</w:t>
      </w:r>
      <w:r>
        <w:rPr>
          <w:rFonts w:cs="CG Times" w:ascii="CG Times" w:hAnsi="CG Times"/>
        </w:rPr>
        <w:t xml:space="preserve"> – Worked with origination and structuring in developing various pricing strategies including fixed price and basis.  Provided all basis and physical index prices for firm volumes.  Along with other team members, developed final “deal summary” and “risk-sensitivity” report for management which detailed seasonal and monthly exposure to basis, index, and intra-month price risk as well as recommended hedge strategies.  Deal closed in third quarter at $15mm origination.</w:t>
      </w:r>
    </w:p>
    <w:p>
      <w:pPr>
        <w:pStyle w:val="BodyText"/>
        <w:rPr/>
      </w:pPr>
      <w:r>
        <w:rPr>
          <w:rFonts w:cs="CG Times" w:ascii="CG Times" w:hAnsi="CG Times"/>
          <w:b/>
          <w:u w:val="single"/>
        </w:rPr>
        <w:t>Provided physical desk, middle marketing, and origination with hedges to offset risk in customer transactions</w:t>
      </w:r>
      <w:r>
        <w:rPr>
          <w:rFonts w:cs="CG Times" w:ascii="CG Times" w:hAnsi="CG Times"/>
        </w:rPr>
        <w:t xml:space="preserve"> – Granted $18mm in new deals origination (including Peoples).</w:t>
      </w:r>
    </w:p>
    <w:p>
      <w:pPr>
        <w:pStyle w:val="BodyText"/>
        <w:rPr>
          <w:rFonts w:ascii="CG Times" w:hAnsi="CG Times" w:cs="CG Times"/>
          <w:b/>
          <w:u w:val="single"/>
        </w:rPr>
      </w:pPr>
      <w:r>
        <w:rPr>
          <w:rFonts w:cs="CG Times" w:ascii="CG Times" w:hAnsi="CG Times"/>
          <w:b/>
          <w:u w:val="single"/>
        </w:rPr>
        <w:t>Contracted firm transportation capacity on Northern Natural</w:t>
      </w:r>
      <w:r>
        <w:rPr>
          <w:rFonts w:cs="CG Times" w:ascii="CG Times" w:hAnsi="CG Times"/>
        </w:rPr>
        <w:t xml:space="preserve">  – Assisted in valuation of transportation spreads and hedge strategy.  Central Desk contracted 295,000 mmBtu/d of firm capacity (18.5% of total NNG capacity) from affiliate pipeline for one-year beginning fourth quarter.</w:t>
      </w:r>
    </w:p>
    <w:p>
      <w:pPr>
        <w:pStyle w:val="BodyText"/>
        <w:rPr/>
      </w:pPr>
      <w:r>
        <w:rPr>
          <w:rFonts w:cs="CG Times" w:ascii="CG Times" w:hAnsi="CG Times"/>
          <w:b/>
          <w:u w:val="single"/>
        </w:rPr>
        <w:t>Industry reputation among highest</w:t>
      </w:r>
      <w:r>
        <w:rPr>
          <w:rFonts w:cs="CG Times" w:ascii="CG Times" w:hAnsi="CG Times"/>
        </w:rPr>
        <w:t xml:space="preserve"> – I have maintained a high level of respect in the marketplace based on over 8 years of financial and physical trading experience and consistent profitability.  In addition, </w:t>
      </w:r>
      <w:r>
        <w:rPr>
          <w:rFonts w:cs="CG Times" w:ascii="CG Times" w:hAnsi="CG Times"/>
          <w:u w:val="single"/>
        </w:rPr>
        <w:t>Trading Natural Gas</w:t>
      </w:r>
      <w:r>
        <w:rPr>
          <w:rFonts w:cs="CG Times" w:ascii="CG Times" w:hAnsi="CG Times"/>
        </w:rPr>
        <w:t xml:space="preserve"> book authored by me is in its third year of publication and widely utilized throughout the industry (and Enron) as a training tool.</w:t>
      </w:r>
    </w:p>
    <w:p>
      <w:pPr>
        <w:pStyle w:val="BodyText"/>
        <w:rPr/>
      </w:pPr>
      <w:r>
        <w:rPr>
          <w:rFonts w:cs="CG Times" w:ascii="CG Times" w:hAnsi="CG Times"/>
          <w:b/>
          <w:u w:val="single"/>
        </w:rPr>
        <w:t>Enron Online</w:t>
      </w:r>
      <w:r>
        <w:rPr>
          <w:rFonts w:cs="CG Times" w:ascii="CG Times" w:hAnsi="CG Times"/>
        </w:rPr>
        <w:t xml:space="preserve"> – Profitably managed 5 multiple tenure financial products in first month of operation.  Completed over 230 transactions.</w:t>
      </w:r>
    </w:p>
    <w:p>
      <w:pPr>
        <w:pStyle w:val="BodyText"/>
        <w:rPr/>
      </w:pPr>
      <w:r>
        <w:rPr>
          <w:rFonts w:cs="CG Times" w:ascii="CG Times" w:hAnsi="CG Times"/>
          <w:b/>
          <w:u w:val="single"/>
        </w:rPr>
        <w:t>Personnel development</w:t>
      </w:r>
      <w:r>
        <w:rPr>
          <w:rFonts w:cs="CG Times" w:ascii="CG Times" w:hAnsi="CG Times"/>
        </w:rPr>
        <w:t xml:space="preserve"> – Managed Martin Cuilla as my assistant and helped educate him in physical and financial trading tools and strategies.  Martin is now a physical trader on the Central Desk.  Managed Eva Pao as my assistant and helped train her in physical and financial trading tools and strategies.  Eva is still my assistant and also runs the Central Desk Gas Daily book, helping manage intra-month price risk for the desk at over 5 basis locations.</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t>If you need any further information, please contact me at ext. 3-6219.</w:t>
      </w:r>
    </w:p>
    <w:p>
      <w:pPr>
        <w:pStyle w:val="BodyText"/>
        <w:rPr>
          <w:rFonts w:ascii="CG Times" w:hAnsi="CG Times" w:cs="CG Times"/>
        </w:rPr>
      </w:pPr>
      <w:r>
        <w:rPr>
          <w:rFonts w:cs="CG Times" w:ascii="CG Times" w:hAnsi="CG Times"/>
        </w:rPr>
      </w:r>
    </w:p>
    <w:p>
      <w:pPr>
        <w:pStyle w:val="BodyText"/>
        <w:spacing w:before="0" w:after="220"/>
        <w:rPr>
          <w:rFonts w:ascii="CG Times" w:hAnsi="CG Times" w:cs="CG Times"/>
        </w:rPr>
      </w:pPr>
      <w:r>
        <w:rPr>
          <w:rFonts w:cs="CG Times" w:ascii="CG Times" w:hAnsi="CG Times"/>
        </w:rPr>
        <w:t>Fletcher J. Sturm</w:t>
      </w:r>
    </w:p>
    <w:sectPr>
      <w:footerReference w:type="default" r:id="rId2"/>
      <w:footerReference w:type="first" r:id="rId3"/>
      <w:type w:val="nextPage"/>
      <w:pgSz w:w="12240" w:h="15840"/>
      <w:pgMar w:left="1800" w:right="1800" w:gutter="0" w:header="0" w:top="1685"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80" w:before="600" w:after="0"/>
      <w:ind w:hanging="0" w:start="0" w:end="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80" w:before="600" w:after="0"/>
      <w:ind w:hanging="0" w:start="0" w:end="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rPr>
      <w:sz w:val="18"/>
    </w:rPr>
  </w:style>
  <w:style w:type="character" w:styleId="PageNumber">
    <w:name w:val="page number"/>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clear" w:pos="360"/>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360"/>
        <w:tab w:val="center" w:pos="4320" w:leader="none"/>
        <w:tab w:val="right" w:pos="8640" w:leader="none"/>
      </w:tabs>
      <w:spacing w:before="0" w:after="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spacing w:lineRule="atLeast" w:line="180" w:before="600" w:after="0"/>
      <w:ind w:hanging="0" w:start="0" w:end="0"/>
    </w:pPr>
    <w:rPr>
      <w:sz w:val="18"/>
    </w:rPr>
  </w:style>
  <w:style w:type="paragraph" w:styleId="FootnoteText">
    <w:name w:val="footnote text"/>
    <w:basedOn w:val="FootnoteBase"/>
    <w:pPr/>
    <w:rPr/>
  </w:style>
  <w:style w:type="paragraph" w:styleId="Header">
    <w:name w:val="header"/>
    <w:basedOn w:val="HeaderBase"/>
    <w:pPr>
      <w:spacing w:lineRule="atLeast" w:line="180" w:before="0" w:after="600"/>
      <w:ind w:hanging="0" w:start="0" w:end="0"/>
    </w:pPr>
    <w:rPr/>
  </w:style>
  <w:style w:type="paragraph" w:styleId="ListBullet">
    <w:name w:val="List Bullet"/>
    <w:basedOn w:val="List"/>
    <w:qFormat/>
    <w:pPr>
      <w:numPr>
        <w:ilvl w:val="0"/>
        <w:numId w:val="2"/>
      </w:numPr>
      <w:ind w:hanging="360" w:start="720" w:end="720"/>
    </w:pPr>
    <w:rPr/>
  </w:style>
  <w:style w:type="paragraph" w:styleId="ListNumber">
    <w:name w:val="List Number"/>
    <w:basedOn w:val="List"/>
    <w:qFormat/>
    <w:pPr>
      <w:numPr>
        <w:ilvl w:val="0"/>
        <w:numId w:val="3"/>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4"/>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5"/>
      </w:numPr>
      <w:ind w:hanging="360" w:start="1080" w:end="720"/>
    </w:pPr>
    <w:rPr/>
  </w:style>
  <w:style w:type="paragraph" w:styleId="ListNumber3">
    <w:name w:val="List Number 3"/>
    <w:basedOn w:val="ListNumber"/>
    <w:qFormat/>
    <w:pPr>
      <w:numPr>
        <w:ilvl w:val="0"/>
        <w:numId w:val="6"/>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Indent">
    <w:name w:val="Body Text Indent"/>
    <w:basedOn w:val="BodyTex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360"/>
        <w:tab w:val="left" w:pos="2640" w:leader="none"/>
      </w:tabs>
      <w:spacing w:lineRule="atLeast" w:line="200"/>
    </w:pPr>
    <w:rPr>
      <w:spacing w:val="-2"/>
      <w:sz w:val="16"/>
    </w:rPr>
  </w:style>
  <w:style w:type="paragraph" w:styleId="CompanyName">
    <w:name w:val="Company Name"/>
    <w:basedOn w:val="ReturnAddress"/>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ind w:hanging="0" w:start="0" w:end="0"/>
    </w:pPr>
    <w:rPr/>
  </w:style>
  <w:style w:type="paragraph" w:styleId="ListNumber4">
    <w:name w:val="List Number 4"/>
    <w:basedOn w:val="ListNumber"/>
    <w:qFormat/>
    <w:pPr>
      <w:numPr>
        <w:ilvl w:val="0"/>
        <w:numId w:val="7"/>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2000-01-04T17:11:00Z</dcterms:created>
  <dc:creator>ECT</dc:creator>
  <dc:description/>
  <dc:language>en-CA</dc:language>
  <cp:lastModifiedBy>Fletcher Sturm</cp:lastModifiedBy>
  <cp:lastPrinted>2000-01-05T07:32:00Z</cp:lastPrinted>
  <dcterms:modified xsi:type="dcterms:W3CDTF">2000-01-05T11:42:00Z</dcterms:modified>
  <cp:revision>6</cp:revision>
  <dc:subject/>
  <dc:title>Professional Memo</dc:title>
</cp:coreProperties>
</file>