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  <w:lang w:val="en-CA" w:eastAsia="en-CA"/>
        </w:rPr>
      </w:pPr>
      <w:r>
        <w:rPr>
          <w:sz w:val="28"/>
          <w:lang w:val="en-CA" w:eastAsia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4051935</wp:posOffset>
            </wp:positionH>
            <wp:positionV relativeFrom="paragraph">
              <wp:posOffset>-230505</wp:posOffset>
            </wp:positionV>
            <wp:extent cx="2771775" cy="45783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55" r="-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rPr/>
      </w:pPr>
      <w:r>
        <w:rPr>
          <w:sz w:val="28"/>
        </w:rPr>
        <w:t xml:space="preserve">Year 2000 </w:t>
      </w:r>
      <w:r>
        <w:rPr>
          <w:i/>
          <w:iCs/>
          <w:color w:val="FF0000"/>
          <w:sz w:val="28"/>
        </w:rPr>
        <w:t>experience</w:t>
      </w:r>
      <w:r>
        <w:rPr>
          <w:color w:val="FF0000"/>
          <w:sz w:val="28"/>
        </w:rPr>
        <w:t xml:space="preserve">ENRON </w:t>
      </w:r>
      <w:r>
        <w:rPr>
          <w:sz w:val="28"/>
        </w:rPr>
        <w:t>Statistics</w:t>
      </w:r>
    </w:p>
    <w:p>
      <w:pPr>
        <w:pStyle w:val="Heading"/>
        <w:rPr>
          <w:sz w:val="28"/>
        </w:rPr>
      </w:pPr>
      <w:r>
        <w:rPr>
          <w:sz w:val="28"/>
        </w:rPr>
        <w:t>December 5,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>Usage Stats. Year 2000:</w:t>
      </w:r>
    </w:p>
    <w:p>
      <w:pPr>
        <w:pStyle w:val="BodyTextIndent3"/>
        <w:ind w:start="2160" w:end="0"/>
        <w:rPr/>
      </w:pPr>
      <w:r>
        <w:rPr/>
        <w:t>Usage Stats =  Number of Visits (not visitors)</w:t>
      </w:r>
    </w:p>
    <w:p>
      <w:pPr>
        <w:pStyle w:val="BodyTextIndent3"/>
        <w:ind w:start="2160" w:end="0"/>
        <w:rPr/>
      </w:pPr>
      <w:r>
        <w:rPr/>
        <w:t>Tactical = Revenue Generating</w:t>
      </w:r>
    </w:p>
    <w:p>
      <w:pPr>
        <w:pStyle w:val="BodyTextIndent3"/>
        <w:ind w:start="2160" w:end="0"/>
        <w:rPr/>
      </w:pPr>
      <w:r>
        <w:rPr/>
        <w:t>Strategic = Non-Revenue Generating</w:t>
      </w:r>
    </w:p>
    <w:p>
      <w:pPr>
        <w:pStyle w:val="BodyTextIndent3"/>
        <w:ind w:start="2160" w:end="0"/>
        <w:rPr/>
      </w:pPr>
      <w:r>
        <w:rPr/>
      </w:r>
    </w:p>
    <w:tbl>
      <w:tblPr>
        <w:tblW w:w="6840" w:type="dxa"/>
        <w:jc w:val="start"/>
        <w:tblInd w:w="226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2160"/>
        <w:gridCol w:w="830"/>
        <w:gridCol w:w="1060"/>
        <w:gridCol w:w="840"/>
        <w:gridCol w:w="840"/>
        <w:gridCol w:w="1110"/>
      </w:tblGrid>
      <w:tr>
        <w:trPr>
          <w:trHeight w:val="60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</w:rPr>
              <w:t xml:space="preserve">Total Visits 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color w:val="FF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Total  Strategic Visits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% of Total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  <w:t>Total TacticalVisits</w:t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  <w:t>% of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33339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333399"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b/>
                <w:bCs/>
                <w:vanish/>
                <w:sz w:val="18"/>
                <w:szCs w:val="18"/>
              </w:rPr>
              <w:t>Total Tactical Visits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b/>
                <w:bCs/>
                <w:vanish/>
                <w:color w:val="FF0000"/>
                <w:sz w:val="18"/>
                <w:szCs w:val="18"/>
              </w:rPr>
              <w:t>107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vanish/>
                <w:color w:val="FF0000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vanish/>
                <w:color w:val="FF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vanish/>
                <w:color w:val="FF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vanish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vanish/>
                <w:color w:val="333399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vanish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vanish/>
                <w:color w:val="333399"/>
                <w:sz w:val="18"/>
                <w:szCs w:val="18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b/>
                <w:bCs/>
                <w:vanish/>
                <w:sz w:val="18"/>
                <w:szCs w:val="18"/>
              </w:rPr>
              <w:t>Total Strategic Visits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b/>
                <w:bCs/>
                <w:vanish/>
                <w:color w:val="FF0000"/>
                <w:sz w:val="18"/>
                <w:szCs w:val="18"/>
              </w:rPr>
              <w:t>204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vanish/>
                <w:color w:val="FF0000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vanish/>
                <w:color w:val="FF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vanish/>
                <w:color w:val="FF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vanish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vanish/>
                <w:color w:val="333399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vanish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vanish/>
                <w:color w:val="333399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Year 2000 Total Visits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18"/>
                <w:szCs w:val="18"/>
              </w:rPr>
              <w:t>311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color w:val="FF0000"/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66%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18"/>
                <w:szCs w:val="18"/>
              </w:rPr>
              <w:t>107</w:t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18"/>
                <w:szCs w:val="1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18"/>
                <w:szCs w:val="18"/>
              </w:rPr>
              <w:t>34%</w:t>
            </w:r>
          </w:p>
        </w:tc>
      </w:tr>
      <w:tr>
        <w:trPr>
          <w:trHeight w:val="121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18"/>
                <w:szCs w:val="18"/>
              </w:rPr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Heading6"/>
              <w:snapToGrid w:val="false"/>
              <w:ind w:hanging="0" w:star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Heading5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Closed Deals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Heading6"/>
              <w:ind w:hanging="0" w:start="0"/>
              <w:rPr/>
            </w:pPr>
            <w:r>
              <w:rPr/>
              <w:t>N/A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Heading5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5"/>
              <w:ind w:hanging="0" w:start="0"/>
              <w:rPr/>
            </w:pPr>
            <w:r>
              <w:rPr/>
              <w:t>N/A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N/A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  <w:t>14% of Tactical</w:t>
            </w:r>
          </w:p>
        </w:tc>
      </w:tr>
      <w:tr>
        <w:trPr>
          <w:trHeight w:val="25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Active Deals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0000"/>
                <w:sz w:val="20"/>
              </w:rPr>
              <w:t>N/A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0000"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N/A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N/A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  <w:t>49% of Tactical</w:t>
            </w:r>
          </w:p>
        </w:tc>
      </w:tr>
      <w:tr>
        <w:trPr>
          <w:trHeight w:val="25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Dead</w:t>
            </w:r>
          </w:p>
        </w:tc>
        <w:tc>
          <w:tcPr>
            <w:tcW w:w="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0000"/>
                <w:sz w:val="20"/>
              </w:rPr>
              <w:t>N/A</w:t>
            </w:r>
          </w:p>
        </w:tc>
        <w:tc>
          <w:tcPr>
            <w:tcW w:w="1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0000"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N/A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N/A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333399"/>
                <w:sz w:val="20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20"/>
              </w:rPr>
              <w:t>37% of Tactical</w:t>
            </w:r>
          </w:p>
        </w:tc>
      </w:tr>
    </w:tbl>
    <w:p>
      <w:pPr>
        <w:pStyle w:val="BodyTextIndent3"/>
        <w:ind w:firstLine="720" w:start="1440" w:end="0"/>
        <w:rPr>
          <w:b/>
          <w:bCs/>
        </w:rPr>
      </w:pPr>
      <w:r>
        <w:rPr>
          <w:b/>
          <w:bCs/>
        </w:rPr>
      </w:r>
    </w:p>
    <w:p>
      <w:pPr>
        <w:pStyle w:val="BodyTextIndent3"/>
        <w:rPr>
          <w:b/>
          <w:bCs/>
        </w:rPr>
      </w:pPr>
      <w:r>
        <w:rPr>
          <w:b/>
          <w:bCs/>
        </w:rPr>
      </w:r>
    </w:p>
    <w:p>
      <w:pPr>
        <w:pStyle w:val="BodyTextIndent"/>
        <w:rPr>
          <w:bCs/>
        </w:rPr>
      </w:pPr>
      <w:r>
        <w:rPr>
          <w:bCs/>
        </w:rPr>
        <w:t>Users: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 xml:space="preserve">Internal Primary Users = Origination  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>Internal Secondary Users = Corp. functions, (Govt. Relations, PR, IR, CR, A/A Program)</w:t>
      </w:r>
    </w:p>
    <w:p>
      <w:pPr>
        <w:pStyle w:val="BodyTextIndent3"/>
        <w:ind w:start="144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BodyTextIndent3"/>
        <w:rPr>
          <w:b/>
          <w:bCs/>
        </w:rPr>
      </w:pPr>
      <w:r>
        <w:rPr>
          <w:b/>
          <w:bCs/>
        </w:rPr>
      </w:r>
    </w:p>
    <w:p>
      <w:pPr>
        <w:pStyle w:val="BodyTextIndent3"/>
        <w:rPr/>
      </w:pPr>
      <w:r>
        <w:rPr/>
        <w:tab/>
        <w:tab/>
        <w:t>The table below will show where in Enron the majority of Volume/Requests came from:</w:t>
      </w:r>
    </w:p>
    <w:p>
      <w:pPr>
        <w:pStyle w:val="BodyTextIndent3"/>
        <w:rPr/>
      </w:pPr>
      <w:r>
        <w:rPr/>
      </w:r>
    </w:p>
    <w:tbl>
      <w:tblPr>
        <w:tblW w:w="8260" w:type="dxa"/>
        <w:jc w:val="start"/>
        <w:tblInd w:w="190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2160"/>
        <w:gridCol w:w="1000"/>
        <w:gridCol w:w="580"/>
        <w:gridCol w:w="960"/>
        <w:gridCol w:w="520"/>
        <w:gridCol w:w="1040"/>
        <w:gridCol w:w="520"/>
        <w:gridCol w:w="960"/>
        <w:gridCol w:w="520"/>
      </w:tblGrid>
      <w:tr>
        <w:trPr>
          <w:trHeight w:val="60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EES Vol.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EBS Vol.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Corp Vol.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highlight w:val="yellow"/>
              </w:rPr>
              <w:t>Total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highlight w:val="yellow"/>
              </w:rPr>
              <w:t>%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b/>
                <w:bCs/>
                <w:vanish/>
                <w:sz w:val="18"/>
                <w:szCs w:val="18"/>
              </w:rPr>
              <w:t>Total Tactical Visits</w:t>
            </w:r>
          </w:p>
        </w:tc>
        <w:tc>
          <w:tcPr>
            <w:tcW w:w="1000" w:type="dxa"/>
            <w:tcBorders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51</w:t>
            </w:r>
          </w:p>
        </w:tc>
        <w:tc>
          <w:tcPr>
            <w:tcW w:w="580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16%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27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9%</w:t>
            </w:r>
          </w:p>
        </w:tc>
        <w:tc>
          <w:tcPr>
            <w:tcW w:w="1040" w:type="dxa"/>
            <w:tcBorders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  <w:highlight w:val="yellow"/>
              </w:rPr>
            </w:pPr>
            <w:r>
              <w:rPr>
                <w:rFonts w:cs="Arial" w:ascii="Arial" w:hAnsi="Arial"/>
                <w:vanish/>
                <w:sz w:val="20"/>
                <w:highlight w:val="yellow"/>
              </w:rPr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  <w:highlight w:val="yellow"/>
              </w:rPr>
            </w:pPr>
            <w:r>
              <w:rPr>
                <w:rFonts w:cs="Arial" w:ascii="Arial" w:hAnsi="Arial"/>
                <w:vanish/>
                <w:sz w:val="20"/>
                <w:highlight w:val="yellow"/>
              </w:rPr>
              <w:t>0%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b/>
                <w:bCs/>
                <w:vanish/>
                <w:sz w:val="18"/>
                <w:szCs w:val="18"/>
              </w:rPr>
              <w:t>Total Strategic Visits</w:t>
            </w:r>
          </w:p>
        </w:tc>
        <w:tc>
          <w:tcPr>
            <w:tcW w:w="100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39</w:t>
            </w:r>
          </w:p>
        </w:tc>
        <w:tc>
          <w:tcPr>
            <w:tcW w:w="58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13%</w:t>
            </w:r>
          </w:p>
        </w:tc>
        <w:tc>
          <w:tcPr>
            <w:tcW w:w="96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13</w:t>
            </w:r>
          </w:p>
        </w:tc>
        <w:tc>
          <w:tcPr>
            <w:tcW w:w="52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4%</w:t>
            </w:r>
          </w:p>
        </w:tc>
        <w:tc>
          <w:tcPr>
            <w:tcW w:w="104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65</w:t>
            </w:r>
          </w:p>
        </w:tc>
        <w:tc>
          <w:tcPr>
            <w:tcW w:w="52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</w:rPr>
            </w:pPr>
            <w:r>
              <w:rPr>
                <w:rFonts w:cs="Arial" w:ascii="Arial" w:hAnsi="Arial"/>
                <w:vanish/>
                <w:sz w:val="20"/>
              </w:rPr>
              <w:t>21%</w:t>
            </w:r>
          </w:p>
        </w:tc>
        <w:tc>
          <w:tcPr>
            <w:tcW w:w="96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  <w:highlight w:val="yellow"/>
              </w:rPr>
            </w:pPr>
            <w:r>
              <w:rPr>
                <w:rFonts w:cs="Arial" w:ascii="Arial" w:hAnsi="Arial"/>
                <w:vanish/>
                <w:sz w:val="20"/>
                <w:highlight w:val="yellow"/>
              </w:rPr>
              <w:t>0</w:t>
            </w:r>
          </w:p>
        </w:tc>
        <w:tc>
          <w:tcPr>
            <w:tcW w:w="52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vanish/>
                <w:szCs w:val="24"/>
                <w:highlight w:val="yellow"/>
              </w:rPr>
            </w:pPr>
            <w:r>
              <w:rPr>
                <w:rFonts w:cs="Arial" w:ascii="Arial" w:hAnsi="Arial"/>
                <w:vanish/>
                <w:sz w:val="20"/>
                <w:highlight w:val="yellow"/>
              </w:rPr>
              <w:t>0%</w:t>
            </w:r>
          </w:p>
        </w:tc>
      </w:tr>
      <w:tr>
        <w:trPr>
          <w:trHeight w:val="270" w:hRule="atLeast"/>
        </w:trPr>
        <w:tc>
          <w:tcPr>
            <w:tcW w:w="2160" w:type="dxa"/>
            <w:tcBorders>
              <w:start w:val="single" w:sz="4" w:space="0" w:color="000000"/>
              <w:bottom w:val="doub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Grand Total Visits</w:t>
            </w:r>
          </w:p>
        </w:tc>
        <w:tc>
          <w:tcPr>
            <w:tcW w:w="100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90</w:t>
            </w:r>
          </w:p>
        </w:tc>
        <w:tc>
          <w:tcPr>
            <w:tcW w:w="58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29%</w:t>
            </w:r>
          </w:p>
        </w:tc>
        <w:tc>
          <w:tcPr>
            <w:tcW w:w="96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40</w:t>
            </w:r>
          </w:p>
        </w:tc>
        <w:tc>
          <w:tcPr>
            <w:tcW w:w="52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13%</w:t>
            </w:r>
          </w:p>
        </w:tc>
        <w:tc>
          <w:tcPr>
            <w:tcW w:w="104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65</w:t>
            </w:r>
          </w:p>
        </w:tc>
        <w:tc>
          <w:tcPr>
            <w:tcW w:w="52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21%</w:t>
            </w:r>
          </w:p>
        </w:tc>
        <w:tc>
          <w:tcPr>
            <w:tcW w:w="960" w:type="dxa"/>
            <w:tcBorders>
              <w:bottom w:val="double" w:sz="6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highlight w:val="yellow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highlight w:val="yellow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0"/>
                <w:highlight w:val="yellow"/>
              </w:rPr>
              <w:t xml:space="preserve">195 </w:t>
            </w:r>
          </w:p>
        </w:tc>
        <w:tc>
          <w:tcPr>
            <w:tcW w:w="520" w:type="dxa"/>
            <w:tcBorders>
              <w:bottom w:val="double" w:sz="6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0"/>
                <w:highlight w:val="yellow"/>
              </w:rPr>
              <w:t>63%</w:t>
            </w:r>
          </w:p>
        </w:tc>
      </w:tr>
    </w:tbl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BodyTextIndent2"/>
        <w:ind w:start="720" w:end="0"/>
        <w:rPr>
          <w:b/>
        </w:rPr>
      </w:pPr>
      <w:r>
        <w:rPr>
          <w:b/>
        </w:rPr>
        <w:t>Business Tours:</w:t>
      </w:r>
    </w:p>
    <w:p>
      <w:pPr>
        <w:pStyle w:val="BodyTextIndent2"/>
        <w:ind w:start="2160" w:end="0"/>
        <w:rPr>
          <w:b/>
          <w:sz w:val="20"/>
        </w:rPr>
      </w:pPr>
      <w:r>
        <w:rPr>
          <w:b/>
          <w:sz w:val="20"/>
        </w:rPr>
      </w:r>
    </w:p>
    <w:tbl>
      <w:tblPr>
        <w:tblW w:w="6570" w:type="dxa"/>
        <w:jc w:val="start"/>
        <w:tblInd w:w="190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2560"/>
        <w:gridCol w:w="1310"/>
        <w:gridCol w:w="2700"/>
      </w:tblGrid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  <w:t>Business Toured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18"/>
              </w:rPr>
              <w:t>No. of Hits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  <w:t>% of Total Visits = 311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Trading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247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79%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GC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185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59%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EBS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159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51%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EES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61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20%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  <w:t>Total tours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18"/>
              </w:rPr>
              <w:t>652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  <w:t>210%</w:t>
            </w:r>
          </w:p>
        </w:tc>
      </w:tr>
    </w:tbl>
    <w:p>
      <w:pPr>
        <w:pStyle w:val="BodyTextIndent2"/>
        <w:ind w:start="2160" w:end="0"/>
        <w:rPr>
          <w:bCs/>
          <w:sz w:val="20"/>
        </w:rPr>
      </w:pPr>
      <w:r>
        <w:rPr>
          <w:bCs/>
          <w:sz w:val="20"/>
        </w:rPr>
      </w:r>
    </w:p>
    <w:p>
      <w:pPr>
        <w:pStyle w:val="BodyTextIndent3"/>
        <w:rPr>
          <w:bCs/>
          <w:sz w:val="20"/>
        </w:rPr>
      </w:pPr>
      <w:r>
        <w:rPr>
          <w:bCs/>
          <w:sz w:val="20"/>
        </w:rPr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p>
      <w:pPr>
        <w:pStyle w:val="BodyTextIndent"/>
        <w:rPr>
          <w:bCs/>
        </w:rPr>
      </w:pPr>
      <w:r>
        <w:rPr>
          <w:bCs/>
        </w:rPr>
        <w:t>Contributors:</w:t>
      </w:r>
    </w:p>
    <w:p>
      <w:pPr>
        <w:pStyle w:val="Normal"/>
        <w:ind w:start="360" w:end="0"/>
        <w:rPr>
          <w:bCs/>
          <w:sz w:val="20"/>
        </w:rPr>
      </w:pPr>
      <w:r>
        <w:rPr>
          <w:bCs/>
          <w:sz w:val="20"/>
        </w:rPr>
      </w:r>
    </w:p>
    <w:tbl>
      <w:tblPr>
        <w:tblW w:w="9000" w:type="dxa"/>
        <w:jc w:val="start"/>
        <w:tblInd w:w="91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2560"/>
        <w:gridCol w:w="950"/>
        <w:gridCol w:w="3150"/>
        <w:gridCol w:w="2340"/>
      </w:tblGrid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3"/>
              <w:ind w:hanging="0" w:start="0"/>
              <w:rPr>
                <w:rFonts w:ascii="Arial" w:hAnsi="Arial" w:eastAsia="Arial Unicode MS" w:cs="Arial"/>
                <w:bCs/>
                <w:szCs w:val="18"/>
              </w:rPr>
            </w:pPr>
            <w:r>
              <w:rPr>
                <w:rFonts w:cs="Arial" w:ascii="Arial" w:hAnsi="Arial"/>
                <w:bCs/>
                <w:szCs w:val="18"/>
              </w:rPr>
              <w:t>Trading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Cs w:val="18"/>
              </w:rPr>
              <w:t> </w:t>
            </w:r>
            <w:r>
              <w:rPr>
                <w:rFonts w:cs="Arial" w:ascii="Arial" w:hAnsi="Arial"/>
                <w:b/>
                <w:bCs/>
                <w:color w:val="FF0000"/>
                <w:szCs w:val="18"/>
              </w:rPr>
              <w:t>Tours Lead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  <w:t>% of trading total = 247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  <w:t>Contribution to Closed Deals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Craig Taylor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115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47%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Tom Donohoe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36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15%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Chrisit Nicolay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27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11%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Carrie Robert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58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23%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Maj. of Trading fl tours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236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96%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571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3"/>
              <w:ind w:hanging="0" w:start="0"/>
              <w:rPr>
                <w:rFonts w:ascii="Arial" w:hAnsi="Arial" w:eastAsia="Arial Unicode MS" w:cs="Arial"/>
                <w:bCs/>
                <w:szCs w:val="18"/>
              </w:rPr>
            </w:pPr>
            <w:r>
              <w:rPr>
                <w:rFonts w:cs="Arial" w:ascii="Arial" w:hAnsi="Arial"/>
                <w:bCs/>
                <w:szCs w:val="18"/>
              </w:rPr>
              <w:t>Gas Control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% of gas ctl total = 185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Earl Tisdale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74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40%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James McKay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36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19%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Steve January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5%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Carrie Robert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45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24%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Majority of GC Tours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164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89%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481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3"/>
              <w:ind w:hanging="0" w:start="0"/>
              <w:rPr>
                <w:rFonts w:ascii="Arial" w:hAnsi="Arial" w:eastAsia="Arial Unicode MS" w:cs="Arial"/>
                <w:bCs/>
                <w:szCs w:val="18"/>
              </w:rPr>
            </w:pPr>
            <w:r>
              <w:rPr>
                <w:rFonts w:cs="Arial" w:ascii="Arial" w:hAnsi="Arial"/>
                <w:bCs/>
                <w:szCs w:val="18"/>
              </w:rPr>
              <w:t>EBS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% of EBS total = 159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John Hay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60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38%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Carrie Robert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30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19%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Melanie King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10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6%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Mark S. Palmer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Grant Zimmerman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Garrett Ashormore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3%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Charles Harris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15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9%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Majority of EBS Tours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133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84%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49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99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3"/>
              <w:ind w:hanging="0" w:start="0"/>
              <w:rPr>
                <w:rFonts w:ascii="Arial" w:hAnsi="Arial" w:eastAsia="Arial Unicode MS" w:cs="Arial"/>
                <w:bCs/>
                <w:szCs w:val="18"/>
              </w:rPr>
            </w:pPr>
            <w:r>
              <w:rPr>
                <w:rFonts w:cs="Arial" w:ascii="Arial" w:hAnsi="Arial"/>
                <w:bCs/>
                <w:szCs w:val="18"/>
              </w:rPr>
              <w:t>EES (PMC)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% of PMC Total = 61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George Hernandez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36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59%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Sirinivas Katipmula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11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18%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  <w:t>Steve Meyers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13%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Majority of EES Tours</w:t>
            </w:r>
          </w:p>
        </w:tc>
        <w:tc>
          <w:tcPr>
            <w:tcW w:w="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0"/>
                <w:szCs w:val="18"/>
              </w:rPr>
              <w:t>55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cs="Arial" w:ascii="Arial" w:hAnsi="Arial"/>
                <w:b/>
                <w:bCs/>
                <w:sz w:val="20"/>
                <w:szCs w:val="18"/>
              </w:rPr>
              <w:t>90%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18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18"/>
              </w:rPr>
            </w:r>
          </w:p>
        </w:tc>
      </w:tr>
    </w:tbl>
    <w:p>
      <w:pPr>
        <w:pStyle w:val="Normal"/>
        <w:ind w:start="360" w:end="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634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lang w:val="en-CA" w:eastAsia="en-CA"/>
      </w:rPr>
    </w:pPr>
    <w:r>
      <w:rPr>
        <w:sz w:val="20"/>
        <w:lang w:val="en-CA" w:eastAsia="en-CA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5575935</wp:posOffset>
          </wp:positionH>
          <wp:positionV relativeFrom="paragraph">
            <wp:posOffset>220345</wp:posOffset>
          </wp:positionV>
          <wp:extent cx="1371600" cy="226695"/>
          <wp:effectExtent l="0" t="0" r="0" b="0"/>
          <wp:wrapNone/>
          <wp:docPr id="2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55" r="-9" b="-55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5423535</wp:posOffset>
          </wp:positionH>
          <wp:positionV relativeFrom="paragraph">
            <wp:posOffset>67945</wp:posOffset>
          </wp:positionV>
          <wp:extent cx="1371600" cy="226695"/>
          <wp:effectExtent l="0" t="0" r="0" b="0"/>
          <wp:wrapNone/>
          <wp:docPr id="3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55" r="-9" b="-55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http://experience.enron.com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Year 2000 experienceENRON Stats.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color w:val="FF0000"/>
      <w:sz w:val="20"/>
      <w:szCs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end"/>
      <w:outlineLvl w:val="5"/>
    </w:pPr>
    <w:rPr>
      <w:rFonts w:ascii="Arial" w:hAnsi="Arial" w:eastAsia="Arial Unicode MS" w:cs="Arial"/>
      <w:b/>
      <w:bCs/>
      <w:color w:val="FF0000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5">
    <w:name w:val="WW8Num7z5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6">
    <w:name w:val="WW8Num16z6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51z0">
    <w:name w:val="WW8Num51z0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2z3">
    <w:name w:val="WW8Num52z3"/>
    <w:qFormat/>
    <w:rPr>
      <w:rFonts w:ascii="Symbol" w:hAnsi="Symbol" w:cs="Symbol"/>
    </w:rPr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5z3">
    <w:name w:val="WW8Num55z3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59z3">
    <w:name w:val="WW8Num59z3"/>
    <w:qFormat/>
    <w:rPr>
      <w:rFonts w:ascii="Symbol" w:hAnsi="Symbol" w:cs="Symbol"/>
    </w:rPr>
  </w:style>
  <w:style w:type="character" w:styleId="WW8Num60z0">
    <w:name w:val="WW8Num60z0"/>
    <w:qFormat/>
    <w:rPr>
      <w:rFonts w:ascii="Wingdings" w:hAnsi="Wingdings" w:cs="Wingdings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0"/>
    </w:rPr>
  </w:style>
  <w:style w:type="paragraph" w:styleId="BodyText">
    <w:name w:val="Body Text"/>
    <w:basedOn w:val="Normal"/>
    <w:pPr/>
    <w:rPr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  <w:sz w:val="20"/>
    </w:rPr>
  </w:style>
  <w:style w:type="paragraph" w:styleId="BodyTextIndent">
    <w:name w:val="Body Text Indent"/>
    <w:basedOn w:val="Normal"/>
    <w:pPr>
      <w:ind w:hanging="0" w:start="720" w:end="0"/>
    </w:pPr>
    <w:rPr>
      <w:b/>
    </w:rPr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108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43" w:leader="none"/>
        <w:tab w:val="right" w:pos="1088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2000-12-05T18:56:00Z</dcterms:created>
  <dc:creator>ees</dc:creator>
  <dc:description/>
  <dc:language>en-CA</dc:language>
  <cp:lastModifiedBy>crobert</cp:lastModifiedBy>
  <cp:lastPrinted>2000-12-05T18:02:00Z</cp:lastPrinted>
  <dcterms:modified xsi:type="dcterms:W3CDTF">2000-12-05T21:43:00Z</dcterms:modified>
  <cp:revision>7</cp:revision>
  <dc:subject/>
  <dc:title>Preliminary 1998 Year End Evaluation</dc:title>
</cp:coreProperties>
</file>