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Normal"/>
        <w:jc w:val="center"/>
        <w:rPr>
          <w:b/>
        </w:rPr>
      </w:pPr>
      <w:r>
        <w:rPr>
          <w:b/>
        </w:rPr>
        <w:t>YATES PETROLEUM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____ Day of ___________, 2000, (the “Effective Date”) by and between </w:t>
      </w:r>
      <w:r>
        <w:rPr>
          <w:b/>
          <w:sz w:val="20"/>
        </w:rPr>
        <w:t>Yates Petroleum Corporation</w:t>
      </w:r>
      <w:r>
        <w:rPr>
          <w:sz w:val="20"/>
        </w:rPr>
        <w:t>, a New Mexico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produced from the Committed Reserves located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owns and controls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Interests, in and under the Reserve Commitment Area.  Owner agrees not to sell, transfer or deliver to any third party any Gas produced from Owner’s Interest other than as specified herein.</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At such time as Gatherer is able to perform Gathering Services for such excess quantities, Gatherer will provide Owner notice of its ability to perform Gathering Services for the excess quantities of Gas and Owner will make such quantities available to Gatherer within five (5) business days.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Effective Date (the "</w:t>
      </w:r>
      <w:r>
        <w:rPr>
          <w:sz w:val="20"/>
          <w:u w:val="single"/>
        </w:rPr>
        <w:t>Primary Term</w:t>
      </w:r>
      <w:r>
        <w:rPr>
          <w:sz w:val="20"/>
        </w:rPr>
        <w:t xml:space="preserve">"), and thereafter continue in effect from Month to Month,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$0.21 per Mcf, plus actual fuel and shrinkage not to exceed three percent (3%),</w:t>
      </w:r>
      <w:r>
        <w:rPr>
          <w:b/>
          <w:sz w:val="20"/>
        </w:rPr>
        <w:t xml:space="preserve"> </w:t>
      </w:r>
      <w:r>
        <w:rPr>
          <w:sz w:val="20"/>
        </w:rPr>
        <w:t xml:space="preserve">for Owner's quantity of gas as measured at the Measurement Points(s). </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Normal"/>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spacing w:before="240" w:after="0"/>
              <w:rPr>
                <w:b/>
                <w:smallCaps/>
              </w:rPr>
            </w:pPr>
            <w:r>
              <w:rPr>
                <w:b/>
                <w:smallCaps/>
              </w:rPr>
              <w:t>Gatherer:</w:t>
            </w:r>
          </w:p>
          <w:p>
            <w:pPr>
              <w:pStyle w:val="Normal"/>
              <w:spacing w:before="240" w:after="0"/>
              <w:ind w:start="252" w:end="0"/>
              <w:rPr>
                <w:b/>
                <w:smallCaps/>
              </w:rPr>
            </w:pPr>
            <w:r>
              <w:rPr>
                <w:b/>
              </w:rPr>
              <w:t>Notices</w:t>
            </w:r>
            <w:r>
              <w:rPr/>
              <w:t>:</w:t>
            </w:r>
          </w:p>
        </w:tc>
        <w:tc>
          <w:tcPr>
            <w:tcW w:w="3960" w:type="dxa"/>
            <w:tcBorders/>
          </w:tcPr>
          <w:p>
            <w:pPr>
              <w:pStyle w:val="Normal"/>
              <w:spacing w:before="240" w:after="0"/>
              <w:rPr>
                <w:b/>
                <w:smallCaps/>
              </w:rPr>
            </w:pPr>
            <w:r>
              <w:rPr>
                <w:b/>
                <w:smallCaps/>
              </w:rPr>
              <w:t>Owner:</w:t>
            </w:r>
          </w:p>
          <w:p>
            <w:pPr>
              <w:pStyle w:val="Normal"/>
              <w:spacing w:before="240" w:after="0"/>
              <w:ind w:start="252" w:end="0"/>
              <w:rPr>
                <w:b/>
                <w:smallCaps/>
              </w:rPr>
            </w:pPr>
            <w:r>
              <w:rPr>
                <w:b/>
              </w:rPr>
              <w:t>Notices</w:t>
            </w:r>
            <w:r>
              <w:rPr/>
              <w:t>:</w:t>
            </w:r>
          </w:p>
        </w:tc>
      </w:tr>
      <w:tr>
        <w:trPr/>
        <w:tc>
          <w:tcPr>
            <w:tcW w:w="3960" w:type="dxa"/>
            <w:tcBorders/>
          </w:tcPr>
          <w:p>
            <w:pPr>
              <w:pStyle w:val="Normal"/>
              <w:widowControl w:val="false"/>
              <w:rPr/>
            </w:pPr>
            <w:r>
              <w:rPr/>
              <w:t>Enron Midstream Services, L.L.C.</w:t>
            </w:r>
          </w:p>
          <w:p>
            <w:pPr>
              <w:pStyle w:val="Normal"/>
              <w:widowControl w:val="false"/>
              <w:rPr/>
            </w:pPr>
            <w:r>
              <w:rPr/>
              <w:t>Attn:  Scott Sitter</w:t>
            </w:r>
          </w:p>
          <w:p>
            <w:pPr>
              <w:pStyle w:val="Normal"/>
              <w:widowControl w:val="false"/>
              <w:rPr/>
            </w:pPr>
            <w:r>
              <w:rPr/>
              <w:t>1200 17</w:t>
            </w:r>
            <w:r>
              <w:rPr>
                <w:vertAlign w:val="superscript"/>
              </w:rPr>
              <w:t>th</w:t>
            </w:r>
            <w:r>
              <w:rPr/>
              <w:t xml:space="preserve"> Street, Suite 2750</w:t>
            </w:r>
          </w:p>
          <w:p>
            <w:pPr>
              <w:pStyle w:val="Normal"/>
              <w:widowControl w:val="false"/>
              <w:rPr/>
            </w:pPr>
            <w:r>
              <w:rPr/>
              <w:t>Denver, CO 80202</w:t>
            </w:r>
          </w:p>
          <w:p>
            <w:pPr>
              <w:pStyle w:val="Normal"/>
              <w:widowControl w:val="false"/>
              <w:rPr/>
            </w:pPr>
            <w:r>
              <w:rPr/>
              <w:t>Phone: (303) 575-6465</w:t>
            </w:r>
          </w:p>
          <w:p>
            <w:pPr>
              <w:pStyle w:val="Normal"/>
              <w:widowControl w:val="false"/>
              <w:rPr/>
            </w:pPr>
            <w:r>
              <w:rPr/>
              <w:t>Fax: (303) 534-0552</w:t>
            </w:r>
          </w:p>
          <w:p>
            <w:pPr>
              <w:pStyle w:val="Normal"/>
              <w:widowControl w:val="false"/>
              <w:rPr/>
            </w:pPr>
            <w:r>
              <w:rPr/>
            </w:r>
          </w:p>
          <w:p>
            <w:pPr>
              <w:pStyle w:val="Normal"/>
              <w:widowControl w:val="false"/>
              <w:ind w:start="252" w:end="0"/>
              <w:rPr/>
            </w:pPr>
            <w:r>
              <w:rPr>
                <w:b/>
              </w:rPr>
              <w:t>Nominations/Confirmations</w:t>
            </w:r>
            <w:r>
              <w:rPr/>
              <w:t>:</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Invoices:</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Payments:</w:t>
            </w:r>
          </w:p>
          <w:p>
            <w:pPr>
              <w:pStyle w:val="Normal"/>
              <w:widowControl w:val="false"/>
              <w:rPr/>
            </w:pPr>
            <w:r>
              <w:rPr/>
              <w:t>by wire transfer</w:t>
            </w:r>
          </w:p>
          <w:p>
            <w:pPr>
              <w:pStyle w:val="Normal"/>
              <w:widowControl w:val="false"/>
              <w:rPr/>
            </w:pPr>
            <w:r>
              <w:rPr/>
            </w:r>
          </w:p>
          <w:p>
            <w:pPr>
              <w:pStyle w:val="Normal"/>
              <w:widowControl w:val="false"/>
              <w:rPr/>
            </w:pPr>
            <w:r>
              <w:rPr/>
              <w:t>ABA Route # 111000025</w:t>
            </w:r>
          </w:p>
          <w:p>
            <w:pPr>
              <w:pStyle w:val="Normal"/>
              <w:widowControl w:val="false"/>
              <w:ind w:start="518" w:end="0"/>
              <w:rPr/>
            </w:pPr>
            <w:r>
              <w:rPr/>
              <w:t>Acct # 3750494099</w:t>
            </w:r>
          </w:p>
        </w:tc>
        <w:tc>
          <w:tcPr>
            <w:tcW w:w="3960" w:type="dxa"/>
            <w:tcBorders/>
          </w:tcPr>
          <w:p>
            <w:pPr>
              <w:pStyle w:val="Normal"/>
              <w:widowControl w:val="false"/>
              <w:jc w:val="both"/>
              <w:rPr/>
            </w:pPr>
            <w:r>
              <w:rPr/>
              <w:t>Yates Petroleum Corporation</w:t>
              <w:tab/>
            </w:r>
          </w:p>
          <w:p>
            <w:pPr>
              <w:pStyle w:val="Normal"/>
              <w:widowControl w:val="false"/>
              <w:jc w:val="both"/>
              <w:rPr/>
            </w:pPr>
            <w:r>
              <w:rPr/>
              <w:t>Attn:  Marketing Department</w:t>
            </w:r>
          </w:p>
          <w:p>
            <w:pPr>
              <w:pStyle w:val="Normal"/>
              <w:widowControl w:val="false"/>
              <w:jc w:val="both"/>
              <w:rPr>
                <w:u w:val="single"/>
              </w:rPr>
            </w:pPr>
            <w:r>
              <w:rPr/>
              <w:t>105 South Fourth Street</w:t>
            </w:r>
          </w:p>
          <w:p>
            <w:pPr>
              <w:pStyle w:val="Normal"/>
              <w:widowControl w:val="false"/>
              <w:jc w:val="both"/>
              <w:rPr/>
            </w:pPr>
            <w:r>
              <w:rPr/>
              <w:t>Artesia, NM  88210</w:t>
            </w:r>
          </w:p>
          <w:p>
            <w:pPr>
              <w:pStyle w:val="Normal"/>
              <w:widowControl w:val="false"/>
              <w:jc w:val="both"/>
              <w:rPr/>
            </w:pPr>
            <w:r>
              <w:rPr/>
              <w:t>Phone: (505) 748-1471</w:t>
            </w:r>
          </w:p>
          <w:p>
            <w:pPr>
              <w:pStyle w:val="Normal"/>
              <w:widowControl w:val="false"/>
              <w:jc w:val="both"/>
              <w:rPr/>
            </w:pPr>
            <w:r>
              <w:rPr/>
              <w:t>Fax: (505) 748-4576</w:t>
            </w:r>
          </w:p>
          <w:p>
            <w:pPr>
              <w:pStyle w:val="Normal"/>
              <w:widowControl w:val="false"/>
              <w:ind w:start="-14" w:end="0"/>
              <w:rPr/>
            </w:pPr>
            <w:r>
              <w:rPr/>
            </w:r>
          </w:p>
          <w:p>
            <w:pPr>
              <w:pStyle w:val="Normal"/>
              <w:widowControl w:val="false"/>
              <w:ind w:start="252" w:end="0"/>
              <w:rPr/>
            </w:pPr>
            <w:r>
              <w:rPr>
                <w:b/>
              </w:rPr>
              <w:t>Nominations/Confirmations</w:t>
            </w:r>
            <w:r>
              <w:rPr/>
              <w:t>:</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Invoices:</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Payments:</w:t>
            </w:r>
          </w:p>
          <w:p>
            <w:pPr>
              <w:pStyle w:val="Normal"/>
              <w:widowControl w:val="false"/>
              <w:ind w:start="-14" w:end="0"/>
              <w:rPr>
                <w:b/>
              </w:rPr>
            </w:pPr>
            <w:r>
              <w:rPr>
                <w:b/>
              </w:rPr>
            </w:r>
          </w:p>
        </w:tc>
      </w:tr>
      <w:tr>
        <w:trPr/>
        <w:tc>
          <w:tcPr>
            <w:tcW w:w="3960" w:type="dxa"/>
            <w:tcBorders/>
          </w:tcPr>
          <w:p>
            <w:pPr>
              <w:pStyle w:val="Normal"/>
              <w:widowControl w:val="false"/>
              <w:snapToGrid w:val="false"/>
              <w:rPr/>
            </w:pPr>
            <w:r>
              <w:rPr/>
            </w:r>
          </w:p>
        </w:tc>
        <w:tc>
          <w:tcPr>
            <w:tcW w:w="3960" w:type="dxa"/>
            <w:tcBorders/>
          </w:tcPr>
          <w:p>
            <w:pPr>
              <w:pStyle w:val="Normal"/>
              <w:widowControl w:val="false"/>
              <w:snapToGrid w:val="false"/>
              <w:spacing w:before="120" w:after="0"/>
              <w:ind w:start="252" w:end="0"/>
              <w:rPr/>
            </w:pPr>
            <w:r>
              <w:rPr/>
            </w:r>
          </w:p>
        </w:tc>
      </w:tr>
    </w:tbl>
    <w:p>
      <w:pPr>
        <w:pStyle w:val="Heading1"/>
        <w:keepNext w:val="false"/>
        <w:widowControl w:val="false"/>
        <w:numPr>
          <w:ilvl w:val="0"/>
          <w:numId w:val="2"/>
        </w:numPr>
        <w:ind w:hanging="0" w:start="0"/>
        <w:rPr/>
      </w:pPr>
      <w:r>
        <w:rPr/>
        <w:t>(Blue Text is "hidden")</w:t>
      </w:r>
    </w:p>
    <w:p>
      <w:pPr>
        <w:pStyle w:val="MimicLev1"/>
        <w:rPr/>
      </w:pPr>
      <w:r>
        <w:rPr/>
      </w:r>
    </w:p>
    <w:p>
      <w:pPr>
        <w:pStyle w:val="Heading2"/>
        <w:numPr>
          <w:ilvl w:val="0"/>
          <w:numId w:val="0"/>
        </w:numPr>
        <w:ind w:hanging="0" w:start="0"/>
        <w:rPr/>
      </w:pPr>
      <w:r>
        <w:rPr/>
      </w:r>
    </w:p>
    <w:p>
      <w:pPr>
        <w:pStyle w:val="MimicLev1"/>
        <w:keepNext w:val="false"/>
        <w:widowControl w:val="false"/>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widowControl w:val="false"/>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  With respect to any suit, action or proceedings relating to this Agreement, each party irrevocably submits to the exclusive jurisdiction of the state and federal district courts located in Denver, Colorado, and the parties further irrevocably waive trial by jury in such courts.</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YATES PETROLEUM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sz w:val="20"/>
        </w:rPr>
      </w:pPr>
      <w:r>
        <w:rPr>
          <w:sz w:val="20"/>
        </w:rPr>
        <w:t>"</w:t>
      </w:r>
      <w:r>
        <w:rPr>
          <w:b/>
          <w:sz w:val="20"/>
          <w:u w:val="single"/>
        </w:rPr>
        <w:t>British Thermal Unit</w:t>
      </w:r>
      <w:r>
        <w:rPr>
          <w:sz w:val="20"/>
        </w:rPr>
        <w:t xml:space="preserve">" </w:t>
      </w:r>
      <w:r>
        <w:rPr>
          <w:spacing w:val="0"/>
          <w:sz w:val="20"/>
        </w:rPr>
        <w:t>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sz w:val="20"/>
        </w:rPr>
      </w:pPr>
      <w:r>
        <w:rPr>
          <w:sz w:val="20"/>
        </w:rPr>
      </w:r>
    </w:p>
    <w:p>
      <w:pPr>
        <w:pStyle w:val="BodyText"/>
        <w:ind w:hanging="0" w:end="0"/>
        <w:rPr>
          <w:sz w:val="20"/>
        </w:rPr>
      </w:pPr>
      <w:r>
        <w:rPr>
          <w:sz w:val="20"/>
        </w:rPr>
        <w:t>"</w:t>
      </w:r>
      <w:r>
        <w:rPr>
          <w:b/>
          <w:sz w:val="20"/>
          <w:u w:val="single"/>
        </w:rPr>
        <w:t>Claims</w:t>
      </w:r>
      <w:r>
        <w:rPr>
          <w:sz w:val="20"/>
        </w:rPr>
        <w:t xml:space="preserve">" </w:t>
      </w:r>
      <w:r>
        <w:rPr>
          <w:spacing w:val="0"/>
          <w:sz w:val="20"/>
        </w:rPr>
        <w:t>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b/>
        </w:rPr>
        <w:t>"</w:t>
      </w:r>
      <w:r>
        <w:rPr>
          <w:b/>
          <w:u w:val="single"/>
        </w:rPr>
        <w:t>Committed Reserves</w:t>
      </w:r>
      <w:r>
        <w:rPr>
          <w:b/>
        </w:rPr>
        <w:t>"</w:t>
      </w:r>
      <w:r>
        <w:rPr/>
        <w:t xml:space="preserve"> means Owner's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r>
    </w:p>
    <w:p>
      <w:pPr>
        <w:pStyle w:val="Normal"/>
        <w:jc w:val="both"/>
        <w:rPr/>
      </w:pPr>
      <w:r>
        <w:rPr/>
        <w:t>"</w:t>
      </w:r>
      <w:r>
        <w:rPr>
          <w:b/>
          <w:u w:val="single"/>
        </w:rPr>
        <w:t>Day</w:t>
      </w:r>
      <w:r>
        <w:rPr/>
        <w:t>" shall mean a period of time beginning and ending at 9:00 a.m. Central Time.</w:t>
      </w:r>
    </w:p>
    <w:p>
      <w:pPr>
        <w:pStyle w:val="Normal"/>
        <w:jc w:val="both"/>
        <w:rPr/>
      </w:pPr>
      <w:r>
        <w:rPr/>
      </w:r>
    </w:p>
    <w:p>
      <w:pPr>
        <w:pStyle w:val="BodyText"/>
        <w:ind w:hanging="0" w:end="0"/>
        <w:rPr>
          <w:sz w:val="20"/>
        </w:rPr>
      </w:pPr>
      <w:r>
        <w:rPr>
          <w:sz w:val="20"/>
        </w:rPr>
        <w:t>"</w:t>
      </w:r>
      <w:r>
        <w:rPr>
          <w:b/>
          <w:sz w:val="20"/>
          <w:u w:val="single"/>
        </w:rPr>
        <w:t>Delivery Point(s</w:t>
      </w:r>
      <w:r>
        <w:rPr>
          <w:sz w:val="20"/>
        </w:rPr>
        <w:t xml:space="preserve">)" </w:t>
      </w:r>
      <w:r>
        <w:rPr>
          <w:spacing w:val="0"/>
          <w:sz w:val="20"/>
        </w:rPr>
        <w:t>shall mean the point(s) described in Exhibit D, as the same may be amended from time to time.</w:t>
      </w:r>
    </w:p>
    <w:p>
      <w:pPr>
        <w:pStyle w:val="BodyText"/>
        <w:ind w:hanging="0" w:end="0"/>
        <w:rPr>
          <w:sz w:val="20"/>
        </w:rPr>
      </w:pPr>
      <w:r>
        <w:rPr>
          <w:sz w:val="20"/>
        </w:rPr>
        <w:t>"</w:t>
      </w:r>
      <w:r>
        <w:rPr>
          <w:b/>
          <w:sz w:val="20"/>
          <w:u w:val="single"/>
        </w:rPr>
        <w:t>Equivalent Quantities</w:t>
      </w:r>
      <w:r>
        <w:rPr>
          <w:sz w:val="20"/>
        </w:rPr>
        <w:t xml:space="preserve">" </w:t>
      </w:r>
      <w:r>
        <w:rPr>
          <w:spacing w:val="0"/>
          <w:sz w:val="20"/>
        </w:rPr>
        <w:t>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xml:space="preserve">" </w:t>
      </w:r>
      <w:r>
        <w:rPr>
          <w:spacing w:val="0"/>
          <w:sz w:val="20"/>
        </w:rPr>
        <w:t>shall mean the Fort Union Gas Gathering, L.L.C. gathering header located in Campbell and Converse Counties, Wyoming</w:t>
      </w:r>
      <w:r>
        <w:rPr>
          <w:sz w:val="20"/>
        </w:rPr>
        <w:t>.</w:t>
      </w:r>
    </w:p>
    <w:p>
      <w:pPr>
        <w:pStyle w:val="BodyText"/>
        <w:ind w:hanging="0" w:end="0"/>
        <w:rPr/>
      </w:pPr>
      <w:r>
        <w:rPr>
          <w:sz w:val="20"/>
        </w:rPr>
        <w:t>"</w:t>
      </w:r>
      <w:r>
        <w:rPr>
          <w:b/>
          <w:sz w:val="20"/>
          <w:u w:val="single"/>
        </w:rPr>
        <w:t>Gas</w:t>
      </w:r>
      <w:r>
        <w:rPr>
          <w:sz w:val="20"/>
        </w:rPr>
        <w:t xml:space="preserve">" </w:t>
      </w:r>
      <w:r>
        <w:rPr>
          <w:spacing w:val="0"/>
          <w:sz w:val="20"/>
        </w:rPr>
        <w:t>shall mean natural gas in its natural state, produced from wells, including casinghead gas produced with crude oil, natural gas from gas wells, vaporized liquefied natural gas, methane and other gaseous hydrocarbons.</w:t>
      </w:r>
      <w:r>
        <w:rPr>
          <w:sz w:val="20"/>
        </w:rPr>
        <w:t xml:space="preserve"> </w:t>
      </w:r>
    </w:p>
    <w:p>
      <w:pPr>
        <w:pStyle w:val="BodyText"/>
        <w:ind w:hanging="0" w:end="0"/>
        <w:rPr>
          <w:sz w:val="20"/>
        </w:rPr>
      </w:pPr>
      <w:r>
        <w:rPr>
          <w:sz w:val="20"/>
        </w:rPr>
        <w:t>"</w:t>
      </w:r>
      <w:r>
        <w:rPr>
          <w:b/>
          <w:sz w:val="20"/>
          <w:u w:val="single"/>
        </w:rPr>
        <w:t>Gas Purchase Agreement</w:t>
      </w:r>
      <w:r>
        <w:rPr>
          <w:sz w:val="20"/>
        </w:rPr>
        <w:t xml:space="preserve">" </w:t>
      </w:r>
      <w:r>
        <w:rPr>
          <w:spacing w:val="0"/>
          <w:sz w:val="20"/>
        </w:rPr>
        <w:t>shall mean that certain Gas Purchase Agreement covering the Reserve Commitment Area between Enron Capital &amp; Trade Resources Corp. and Owner of even date herewith.</w:t>
      </w:r>
    </w:p>
    <w:p>
      <w:pPr>
        <w:pStyle w:val="BodyText"/>
        <w:ind w:hanging="0" w:end="0"/>
        <w:rPr>
          <w:sz w:val="20"/>
        </w:rPr>
      </w:pPr>
      <w:r>
        <w:rPr>
          <w:sz w:val="20"/>
        </w:rPr>
        <w:t>"</w:t>
      </w:r>
      <w:r>
        <w:rPr>
          <w:b/>
          <w:sz w:val="20"/>
          <w:u w:val="single"/>
        </w:rPr>
        <w:t>Gathering Facilities</w:t>
      </w:r>
      <w:r>
        <w:rPr>
          <w:sz w:val="20"/>
        </w:rPr>
        <w:t xml:space="preserve">" </w:t>
      </w:r>
      <w:r>
        <w:rPr>
          <w:spacing w:val="0"/>
          <w:sz w:val="20"/>
        </w:rPr>
        <w:t>shall mean those gathering lines and facilities and appurtenances thereto, cathodic protection equipment and such easements and other rights in land that are to be used by Gatherer or</w:t>
      </w:r>
      <w:del w:id="0" w:author="Dan J. Bump" w:date="2000-01-31T17:39:00Z">
        <w:r>
          <w:rPr>
            <w:spacing w:val="0"/>
            <w:sz w:val="20"/>
          </w:rPr>
          <w:delText>,</w:delText>
        </w:r>
      </w:del>
      <w:r>
        <w:rPr>
          <w:spacing w:val="0"/>
          <w:sz w:val="20"/>
        </w:rPr>
        <w:t xml:space="preserve">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w:t>
      </w:r>
      <w:r>
        <w:rPr>
          <w:spacing w:val="0"/>
          <w:sz w:val="20"/>
        </w:rPr>
        <w:t>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w:t>
      </w:r>
      <w:r>
        <w:rPr>
          <w:sz w:val="20"/>
        </w:rPr>
        <w:t xml:space="preserve"> </w:t>
      </w:r>
    </w:p>
    <w:p>
      <w:pPr>
        <w:pStyle w:val="BodyText"/>
        <w:ind w:hanging="0" w:end="0"/>
        <w:rPr/>
      </w:pPr>
      <w:r>
        <w:rPr>
          <w:sz w:val="20"/>
        </w:rPr>
        <w:t>"</w:t>
      </w:r>
      <w:r>
        <w:rPr>
          <w:b/>
          <w:sz w:val="20"/>
          <w:u w:val="single"/>
        </w:rPr>
        <w:t>Maximum Daily Quantity</w:t>
      </w:r>
      <w:r>
        <w:rPr>
          <w:sz w:val="20"/>
        </w:rPr>
        <w:t>" or “</w:t>
      </w:r>
      <w:r>
        <w:rPr>
          <w:b/>
          <w:sz w:val="20"/>
          <w:u w:val="single"/>
        </w:rPr>
        <w:t>MDQ</w:t>
      </w:r>
      <w:r>
        <w:rPr>
          <w:sz w:val="20"/>
        </w:rPr>
        <w:t xml:space="preserve">” </w:t>
      </w:r>
      <w:r>
        <w:rPr>
          <w:spacing w:val="0"/>
          <w:sz w:val="20"/>
        </w:rPr>
        <w:t>shall mean 6,000 Mcf per Day</w:t>
      </w:r>
      <w:r>
        <w:rPr>
          <w:sz w:val="20"/>
        </w:rPr>
        <w:t>.</w:t>
      </w:r>
    </w:p>
    <w:p>
      <w:pPr>
        <w:pStyle w:val="BodyText"/>
        <w:ind w:hanging="0" w:end="0"/>
        <w:rPr>
          <w:sz w:val="20"/>
        </w:rPr>
      </w:pPr>
      <w:r>
        <w:rPr>
          <w:sz w:val="20"/>
        </w:rPr>
        <w:t>"</w:t>
      </w:r>
      <w:r>
        <w:rPr>
          <w:b/>
          <w:sz w:val="20"/>
          <w:u w:val="single"/>
        </w:rPr>
        <w:t>Mcf</w:t>
      </w:r>
      <w:r>
        <w:rPr>
          <w:sz w:val="20"/>
        </w:rPr>
        <w:t xml:space="preserve">" </w:t>
      </w:r>
      <w:r>
        <w:rPr>
          <w:spacing w:val="0"/>
          <w:sz w:val="20"/>
        </w:rPr>
        <w:t>shall mean 1,000 cubic feet of Gas at a pressure of 14.73 p.s.i.a. and at a temperature of 60 degrees Fahrenheit.</w:t>
      </w:r>
    </w:p>
    <w:p>
      <w:pPr>
        <w:pStyle w:val="BodyText"/>
        <w:ind w:hanging="0" w:end="0"/>
        <w:rPr>
          <w:sz w:val="20"/>
        </w:rPr>
      </w:pPr>
      <w:r>
        <w:rPr>
          <w:sz w:val="20"/>
        </w:rPr>
        <w:t>"</w:t>
      </w:r>
      <w:r>
        <w:rPr>
          <w:b/>
          <w:sz w:val="20"/>
          <w:u w:val="single"/>
        </w:rPr>
        <w:t>Measurement Point</w:t>
      </w:r>
      <w:r>
        <w:rPr>
          <w:sz w:val="20"/>
        </w:rPr>
        <w:t xml:space="preserve">" </w:t>
      </w:r>
      <w:r>
        <w:rPr>
          <w:spacing w:val="0"/>
          <w:sz w:val="20"/>
        </w:rPr>
        <w:t>shall mean the inlet flange of Gatherer's meter located at the applicable Receipt Point or other meter as designated by the Parties.</w:t>
      </w:r>
    </w:p>
    <w:p>
      <w:pPr>
        <w:pStyle w:val="BodyText"/>
        <w:ind w:hanging="0" w:end="0"/>
        <w:rPr>
          <w:sz w:val="20"/>
        </w:rPr>
      </w:pPr>
      <w:r>
        <w:rPr>
          <w:sz w:val="20"/>
        </w:rPr>
        <w:t>"</w:t>
      </w:r>
      <w:r>
        <w:rPr>
          <w:b/>
          <w:sz w:val="20"/>
          <w:u w:val="single"/>
        </w:rPr>
        <w:t>MMBtu</w:t>
      </w:r>
      <w:r>
        <w:rPr>
          <w:sz w:val="20"/>
        </w:rPr>
        <w:t xml:space="preserve">" </w:t>
      </w:r>
      <w:r>
        <w:rPr>
          <w:spacing w:val="0"/>
          <w:sz w:val="20"/>
        </w:rPr>
        <w:t>shall mean one million British Thermal Units.</w:t>
      </w:r>
    </w:p>
    <w:p>
      <w:pPr>
        <w:pStyle w:val="BodyText"/>
        <w:ind w:hanging="0" w:end="0"/>
        <w:rPr>
          <w:sz w:val="20"/>
        </w:rPr>
      </w:pPr>
      <w:r>
        <w:rPr>
          <w:sz w:val="20"/>
        </w:rPr>
        <w:t>"</w:t>
      </w:r>
      <w:r>
        <w:rPr>
          <w:b/>
          <w:sz w:val="20"/>
          <w:u w:val="single"/>
        </w:rPr>
        <w:t>Month</w:t>
      </w:r>
      <w:r>
        <w:rPr>
          <w:sz w:val="20"/>
        </w:rPr>
        <w:t xml:space="preserve">" </w:t>
      </w:r>
      <w:r>
        <w:rPr>
          <w:spacing w:val="0"/>
          <w:sz w:val="20"/>
        </w:rPr>
        <w:t>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Normal"/>
        <w:jc w:val="both"/>
        <w:rPr/>
      </w:pPr>
      <w:r>
        <w:rPr/>
      </w:r>
    </w:p>
    <w:p>
      <w:pPr>
        <w:pStyle w:val="Normal"/>
        <w:jc w:val="both"/>
        <w:rPr/>
      </w:pPr>
      <w:r>
        <w:rPr>
          <w:b/>
        </w:rPr>
        <w:t>"</w:t>
      </w:r>
      <w:r>
        <w:rPr>
          <w:b/>
          <w:u w:val="single"/>
        </w:rPr>
        <w:t>Owner's Interest</w:t>
      </w:r>
      <w:r>
        <w:rPr>
          <w:b/>
        </w:rPr>
        <w:t>"</w:t>
      </w:r>
      <w:r>
        <w:rPr/>
        <w:t xml:space="preserve"> means the interests owned or controlled by Owner set forth in </w:t>
      </w:r>
      <w:r>
        <w:rPr>
          <w:u w:val="single"/>
        </w:rPr>
        <w:t>Exhibit "A"</w:t>
      </w:r>
      <w:r>
        <w:rPr/>
        <w:t xml:space="preserve"> in and to the Subject Leases (which if not stated in </w:t>
      </w:r>
      <w:r>
        <w:rPr>
          <w:u w:val="single"/>
        </w:rPr>
        <w:t>Exhibit "A"</w:t>
      </w:r>
      <w:r>
        <w:rPr/>
        <w:t xml:space="preserve"> shall be deemed an 100 percent working interest), and any and all additional right, title, interest or claim of every kind and character of Owner in the Subject Leases, the Reserve Commitment Area shown on </w:t>
      </w:r>
      <w:r>
        <w:rPr>
          <w:u w:val="single"/>
        </w:rPr>
        <w:t>Exhibit "A,"</w:t>
      </w:r>
      <w:r>
        <w:rPr/>
        <w:t xml:space="preserve"> and the production therefrom, together with any pool, communized area or unit, and all interests in any wells, whether now existing or drilled hereafter, on or completed within any such Subject Lease, or within any such pool, communized area or unit, including those described in </w:t>
      </w:r>
      <w:r>
        <w:rPr>
          <w:u w:val="single"/>
        </w:rPr>
        <w:t>Exhibit "A,"</w:t>
      </w:r>
      <w:r>
        <w:rPr/>
        <w:t xml:space="preserve"> even though Owner's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r>
    </w:p>
    <w:p>
      <w:pPr>
        <w:pStyle w:val="BodyText"/>
        <w:ind w:hanging="0" w:end="0"/>
        <w:rPr>
          <w:sz w:val="20"/>
        </w:rPr>
      </w:pPr>
      <w:r>
        <w:rPr>
          <w:sz w:val="20"/>
        </w:rPr>
        <w:t>"</w:t>
      </w:r>
      <w:r>
        <w:rPr>
          <w:b/>
          <w:sz w:val="20"/>
          <w:u w:val="single"/>
        </w:rPr>
        <w:t>Psia</w:t>
      </w:r>
      <w:r>
        <w:rPr>
          <w:spacing w:val="0"/>
          <w:sz w:val="20"/>
        </w:rPr>
        <w:t>" shall mean pounds per square inch, absolute.</w:t>
      </w:r>
    </w:p>
    <w:p>
      <w:pPr>
        <w:pStyle w:val="BodyText"/>
        <w:ind w:hanging="0" w:end="0"/>
        <w:rPr/>
      </w:pPr>
      <w:r>
        <w:rPr>
          <w:sz w:val="20"/>
        </w:rPr>
        <w:t>"</w:t>
      </w:r>
      <w:r>
        <w:rPr>
          <w:b/>
          <w:sz w:val="20"/>
          <w:u w:val="single"/>
        </w:rPr>
        <w:t>Psig</w:t>
      </w:r>
      <w:r>
        <w:rPr>
          <w:sz w:val="20"/>
        </w:rPr>
        <w:t xml:space="preserve">" </w:t>
      </w:r>
      <w:r>
        <w:rPr>
          <w:spacing w:val="0"/>
          <w:sz w:val="20"/>
        </w:rPr>
        <w:t>shall mean pounds per square inch, gauge</w:t>
      </w:r>
      <w:r>
        <w:rPr>
          <w:sz w:val="20"/>
        </w:rPr>
        <w:t>.</w:t>
      </w:r>
    </w:p>
    <w:p>
      <w:pPr>
        <w:pStyle w:val="BodyText"/>
        <w:ind w:hanging="0" w:end="0"/>
        <w:rPr/>
      </w:pPr>
      <w:r>
        <w:rPr>
          <w:sz w:val="20"/>
        </w:rPr>
        <w:t>"</w:t>
      </w:r>
      <w:r>
        <w:rPr>
          <w:b/>
          <w:sz w:val="20"/>
          <w:u w:val="single"/>
        </w:rPr>
        <w:t>Receipt Point(s)</w:t>
      </w:r>
      <w:r>
        <w:rPr>
          <w:sz w:val="20"/>
        </w:rPr>
        <w:t xml:space="preserve">" </w:t>
      </w:r>
      <w:r>
        <w:rPr>
          <w:spacing w:val="0"/>
          <w:sz w:val="20"/>
        </w:rPr>
        <w:t>shall mean the point(s) described in Exhibit C</w:t>
      </w:r>
      <w:r>
        <w:rPr>
          <w:sz w:val="20"/>
        </w:rPr>
        <w:t>.</w:t>
      </w:r>
    </w:p>
    <w:p>
      <w:pPr>
        <w:pStyle w:val="BodyText"/>
        <w:ind w:hanging="0" w:end="0"/>
        <w:rPr>
          <w:sz w:val="20"/>
        </w:rPr>
      </w:pPr>
      <w:r>
        <w:rPr>
          <w:sz w:val="20"/>
        </w:rPr>
        <w:t>"</w:t>
      </w:r>
      <w:r>
        <w:rPr>
          <w:b/>
          <w:sz w:val="20"/>
          <w:u w:val="single"/>
        </w:rPr>
        <w:t>Reserve Commitment Area</w:t>
      </w:r>
      <w:r>
        <w:rPr>
          <w:sz w:val="20"/>
        </w:rPr>
        <w:t xml:space="preserve">" </w:t>
      </w:r>
      <w:r>
        <w:rPr>
          <w:spacing w:val="0"/>
          <w:sz w:val="20"/>
        </w:rPr>
        <w:t xml:space="preserve">shall mean all Gas reserves in and under or attributable to the area shown on </w:t>
      </w:r>
      <w:r>
        <w:rPr>
          <w:spacing w:val="0"/>
          <w:sz w:val="20"/>
          <w:u w:val="single"/>
        </w:rPr>
        <w:t>Exhibit A.</w:t>
      </w:r>
      <w:r>
        <w:rPr>
          <w:spacing w:val="0"/>
          <w:sz w:val="20"/>
        </w:rPr>
        <w:t xml:space="preserve"> </w:t>
      </w:r>
    </w:p>
    <w:p>
      <w:pPr>
        <w:pStyle w:val="Normal"/>
        <w:jc w:val="both"/>
        <w:rPr>
          <w:u w:val="single"/>
        </w:rPr>
      </w:pPr>
      <w:r>
        <w:rPr>
          <w:b/>
        </w:rPr>
        <w:t>"</w:t>
      </w:r>
      <w:r>
        <w:rPr>
          <w:b/>
          <w:u w:val="single"/>
        </w:rPr>
        <w:t>Subject Leases</w:t>
      </w:r>
      <w:r>
        <w:rPr>
          <w:b/>
        </w:rPr>
        <w:t>"</w:t>
      </w:r>
      <w:r>
        <w:rPr/>
        <w:t xml:space="preserve"> means all leaseholds, royalties, overriding royalties, other non-expense bearing accounts, carried interests, fee interests or other real property interests located within the Reserve Commitment Area or listed on </w:t>
      </w:r>
      <w:r>
        <w:rPr>
          <w:u w:val="single"/>
        </w:rPr>
        <w:t>Exhibit "A”</w:t>
      </w:r>
      <w:r>
        <w:rPr/>
        <w:t>.</w:t>
      </w:r>
    </w:p>
    <w:p>
      <w:pPr>
        <w:pStyle w:val="Normal"/>
        <w:jc w:val="both"/>
        <w:rPr>
          <w:u w:val="single"/>
        </w:rPr>
      </w:pPr>
      <w:r>
        <w:rPr>
          <w:u w:val="single"/>
        </w:rPr>
      </w:r>
    </w:p>
    <w:p>
      <w:pPr>
        <w:pStyle w:val="Normal"/>
        <w:jc w:val="both"/>
        <w:rPr/>
      </w:pPr>
      <w:r>
        <w:rPr/>
        <w:t>"</w:t>
      </w:r>
      <w:r>
        <w:rPr>
          <w:b/>
          <w:u w:val="single"/>
        </w:rPr>
        <w:t>Specifications</w:t>
      </w:r>
      <w:r>
        <w:rPr/>
        <w:t>" shall mean the System Specifications detailed in Section 6 [Quality] and Procedures in Section 2 [Nominations]of Gatherer, as the same may be amended and or supplemented from time to time to conform with any changed specifications or procedures of the entities receiving Gas at the terminus of the Gathering Facilities.</w:t>
      </w:r>
    </w:p>
    <w:p>
      <w:pPr>
        <w:pStyle w:val="Normal"/>
        <w:jc w:val="both"/>
        <w:rPr/>
      </w:pPr>
      <w:r>
        <w:rPr/>
      </w:r>
    </w:p>
    <w:p>
      <w:pPr>
        <w:pStyle w:val="Normal"/>
        <w:jc w:val="both"/>
        <w:rPr/>
      </w:pPr>
      <w:r>
        <w:rPr>
          <w:b/>
        </w:rPr>
        <w:t>"</w:t>
      </w:r>
      <w:r>
        <w:rPr>
          <w:b/>
          <w:u w:val="single"/>
        </w:rPr>
        <w:t>Transporter</w:t>
      </w:r>
      <w:r>
        <w:rPr>
          <w:b/>
        </w:rPr>
        <w:t>"</w:t>
      </w:r>
      <w:r>
        <w:rPr/>
        <w:t xml:space="preserve"> means the Pipeline(s) receiving Gas at the interconnection to the Gathering Facilities.</w:t>
      </w:r>
    </w:p>
    <w:p>
      <w:pPr>
        <w:pStyle w:val="Normal"/>
        <w:jc w:val="both"/>
        <w:rPr/>
      </w:pPr>
      <w:r>
        <w:rPr/>
      </w:r>
    </w:p>
    <w:p>
      <w:pPr>
        <w:pStyle w:val="BodyText"/>
        <w:ind w:hanging="0" w:end="0"/>
        <w:rPr>
          <w:sz w:val="20"/>
        </w:rPr>
      </w:pPr>
      <w:r>
        <w:rPr>
          <w:sz w:val="20"/>
        </w:rPr>
        <w:t>"</w:t>
      </w:r>
      <w:r>
        <w:rPr>
          <w:b/>
          <w:sz w:val="20"/>
          <w:u w:val="single"/>
        </w:rPr>
        <w:t>Year</w:t>
      </w:r>
      <w:r>
        <w:rPr>
          <w:sz w:val="20"/>
        </w:rPr>
        <w:t xml:space="preserve">" </w:t>
      </w:r>
      <w:r>
        <w:rPr>
          <w:spacing w:val="0"/>
          <w:sz w:val="20"/>
        </w:rPr>
        <w:t>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one (1) Day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.Gatherer will notify Owner of any Imbalance remaining at the end of a Month and Owner shall correct such Imbalance volumetrically during the Month following notification.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del w:id="1" w:author="Dan J. Bump" w:date="2000-01-31T16:28:00Z">
        <w:r>
          <w:rPr>
            <w:b w:val="false"/>
            <w:sz w:val="20"/>
          </w:rPr>
          <w:delText xml:space="preserve">Gatherer shall install and maintain compression facilities </w:delText>
        </w:r>
      </w:del>
      <w:ins w:id="2" w:author="Dan J. Bump" w:date="2000-01-27T15:56:00Z">
        <w:r>
          <w:rPr>
            <w:b w:val="false"/>
            <w:sz w:val="20"/>
          </w:rPr>
          <w:t>Owner will deliver</w:t>
        </w:r>
      </w:ins>
      <w:ins w:id="3" w:author="Dan J. Bump" w:date="2000-01-31T16:28:00Z">
        <w:r>
          <w:rPr>
            <w:b w:val="false"/>
            <w:sz w:val="20"/>
          </w:rPr>
          <w:t xml:space="preserve"> gas</w:t>
        </w:r>
      </w:ins>
      <w:ins w:id="4" w:author="Dan J. Bump" w:date="2000-01-27T15:58:00Z">
        <w:r>
          <w:rPr>
            <w:b w:val="false"/>
            <w:sz w:val="20"/>
          </w:rPr>
          <w:t xml:space="preserve"> </w:t>
        </w:r>
      </w:ins>
      <w:ins w:id="5" w:author="Dan J. Bump" w:date="2000-01-31T17:38:00Z">
        <w:r>
          <w:rPr>
            <w:b w:val="false"/>
            <w:sz w:val="20"/>
          </w:rPr>
          <w:t xml:space="preserve">to Gatherer </w:t>
        </w:r>
      </w:ins>
      <w:ins w:id="6" w:author="Dan J. Bump" w:date="2000-01-27T15:58:00Z">
        <w:r>
          <w:rPr>
            <w:b w:val="false"/>
            <w:sz w:val="20"/>
          </w:rPr>
          <w:t>at the Receipt Point</w:t>
        </w:r>
      </w:ins>
      <w:ins w:id="7" w:author="Dan J. Bump" w:date="2000-01-27T15:56:00Z">
        <w:r>
          <w:rPr>
            <w:b w:val="false"/>
            <w:sz w:val="20"/>
          </w:rPr>
          <w:t xml:space="preserve"> at a pressure sufficient to overcome the operating pressure then existing in Gatherer’s facilities.</w:t>
        </w:r>
      </w:ins>
      <w:del w:id="8" w:author="Dan J. Bump" w:date="2000-01-27T15:58:00Z">
        <w:r>
          <w:rPr>
            <w:b w:val="false"/>
            <w:sz w:val="20"/>
          </w:rPr>
          <w:delText xml:space="preserve">which have an average design suction pressure of 500 psig applicable to each Delivery Point in accordance with the provisions of the Facilities Development Plan attached hereto as </w:delText>
        </w:r>
      </w:del>
      <w:del w:id="9" w:author="Dan J. Bump" w:date="2000-01-27T15:58:00Z">
        <w:r>
          <w:rPr>
            <w:b w:val="false"/>
            <w:sz w:val="20"/>
            <w:u w:val="single"/>
          </w:rPr>
          <w:delText>Exhibit "B</w:delText>
        </w:r>
      </w:del>
      <w:del w:id="10" w:author="Dan J. Bump" w:date="2000-01-27T15:58:00Z">
        <w:r>
          <w:rPr>
            <w:b w:val="false"/>
            <w:sz w:val="20"/>
          </w:rPr>
          <w:delText xml:space="preserve">". </w:delText>
        </w:r>
      </w:del>
      <w:r>
        <w:rPr>
          <w:b w:val="false"/>
          <w:sz w:val="20"/>
        </w:rPr>
        <w:t xml:space="preserve"> Notwithstanding anything to the contrary herein, Gatherer and Owner agree that the pressures maintained at the </w:t>
      </w:r>
      <w:del w:id="11" w:author="Dan J. Bump" w:date="2000-01-31T17:39:00Z">
        <w:r>
          <w:rPr>
            <w:b w:val="false"/>
            <w:sz w:val="20"/>
          </w:rPr>
          <w:delText xml:space="preserve">compression </w:delText>
        </w:r>
      </w:del>
      <w:r>
        <w:rPr>
          <w:b w:val="false"/>
          <w:sz w:val="20"/>
        </w:rPr>
        <w:t xml:space="preserve">facilities and at the wellhead(s) will be adjusted as reasonable and necessary to optimize production with due consideration for the design and operational capabilities and limitations of the </w:t>
      </w:r>
      <w:del w:id="12" w:author="Dan J. Bump" w:date="2000-01-31T17:40:00Z">
        <w:r>
          <w:rPr>
            <w:b w:val="false"/>
            <w:sz w:val="20"/>
          </w:rPr>
          <w:delText>compressor units</w:delText>
        </w:r>
      </w:del>
      <w:ins w:id="13" w:author="Dan J. Bump" w:date="2000-01-31T17:40:00Z">
        <w:r>
          <w:rPr>
            <w:b w:val="false"/>
            <w:sz w:val="20"/>
          </w:rPr>
          <w:t>Gathering Facilities</w:t>
        </w:r>
      </w:ins>
      <w:r>
        <w:rPr>
          <w:b w:val="false"/>
          <w:sz w:val="20"/>
        </w:rPr>
        <w:t xml:space="preserve">. </w:t>
      </w:r>
    </w:p>
    <w:p>
      <w:pPr>
        <w:pStyle w:val="Sections"/>
        <w:numPr>
          <w:ilvl w:val="0"/>
          <w:numId w:val="0"/>
        </w:numPr>
        <w:ind w:hanging="0" w:start="0"/>
        <w:jc w:val="both"/>
        <w:rPr>
          <w:b w:val="false"/>
          <w:sz w:val="20"/>
        </w:rPr>
      </w:pPr>
      <w:r>
        <w:rPr>
          <w:b w:val="false"/>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BodyText2"/>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 to conform with any changed specifications of the entities receiving Gas at the terminus of the Gathering Facilities</w:t>
      </w:r>
      <w:ins w:id="14" w:author="Dan J. Bump" w:date="2000-01-27T16:00:00Z">
        <w:r>
          <w:rPr/>
          <w:t>.  Owner shall purchase and install instrumentation</w:t>
        </w:r>
      </w:ins>
      <w:ins w:id="15" w:author="Dan J. Bump" w:date="2000-01-27T16:41:00Z">
        <w:r>
          <w:rPr/>
          <w:t xml:space="preserve">, monitoring devices, </w:t>
        </w:r>
      </w:ins>
      <w:ins w:id="16" w:author="Dan J. Bump" w:date="2000-01-27T16:00:00Z">
        <w:r>
          <w:rPr/>
          <w:t>and shut-down capabilities required to prevent non</w:t>
        </w:r>
      </w:ins>
      <w:ins w:id="17" w:author="Dan J. Bump" w:date="2000-01-31T16:26:00Z">
        <w:r>
          <w:rPr/>
          <w:t>-</w:t>
        </w:r>
      </w:ins>
      <w:ins w:id="18" w:author="Dan J. Bump" w:date="2000-01-27T16:00:00Z">
        <w:r>
          <w:rPr/>
          <w:t>conforming gas from entering Gatherer</w:t>
        </w:r>
      </w:ins>
      <w:ins w:id="19" w:author="Dan J. Bump" w:date="2000-01-27T16:40:00Z">
        <w:r>
          <w:rPr/>
          <w:t>’s facilities.  Enron will periodically calibrate and maintain aforementioned systems.</w:t>
        </w:r>
      </w:ins>
      <w:del w:id="20" w:author="Dan J. Bump" w:date="2000-01-27T16:00:00Z">
        <w:r>
          <w:rPr/>
          <w:delText>:</w:delText>
        </w:r>
      </w:del>
    </w:p>
    <w:p>
      <w:pPr>
        <w:pStyle w:val="BodyText"/>
        <w:rPr/>
      </w:pPr>
      <w:r>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pPr>
      <w:r>
        <w:rPr/>
        <w:tab/>
      </w:r>
      <w:r>
        <w:rPr>
          <w:sz w:val="20"/>
        </w:rPr>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jc w:val="both"/>
        <w:rPr/>
      </w:pPr>
      <w:r>
        <w:rPr/>
        <w:tab/>
        <w:t>(h)</w:t>
        <w:tab/>
        <w:t xml:space="preserve">Not contain more than five (5) pounds of entrained water vapor per </w:t>
      </w:r>
    </w:p>
    <w:p>
      <w:pPr>
        <w:pStyle w:val="Normal"/>
        <w:tabs>
          <w:tab w:val="left" w:pos="720" w:leader="none"/>
        </w:tabs>
        <w:ind w:hanging="1440" w:start="1440" w:end="0"/>
        <w:jc w:val="both"/>
        <w:rPr/>
      </w:pPr>
      <w:r>
        <w:rPr/>
        <w:tab/>
        <w:tab/>
        <w:t xml:space="preserve">million cubic feet and no free water; and </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fifteen (15)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previously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pPr>
      <w:r>
        <w:rPr/>
        <w:tab/>
        <w:t>This Agreement shall inure to and bind the Parties' permitted successors and assigns; provided, neither Party with respect to this Agreement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Sections"/>
        <w:numPr>
          <w:ilvl w:val="0"/>
          <w:numId w:val="0"/>
        </w:numPr>
        <w:spacing w:before="0" w:after="0"/>
        <w:ind w:hanging="0" w:start="0"/>
        <w:rPr/>
      </w:pPr>
      <w:r>
        <w:rPr/>
      </w:r>
    </w:p>
    <w:p>
      <w:pPr>
        <w:pStyle w:val="Sections"/>
        <w:numPr>
          <w:ilvl w:val="0"/>
          <w:numId w:val="0"/>
        </w:numPr>
        <w:spacing w:before="0" w:after="0"/>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Sections"/>
        <w:numPr>
          <w:ilvl w:val="0"/>
          <w:numId w:val="0"/>
        </w:numPr>
        <w:spacing w:before="0" w:after="0"/>
        <w:ind w:hanging="0" w:start="0"/>
        <w:rPr>
          <w:b w:val="false"/>
          <w:sz w:val="20"/>
        </w:rPr>
      </w:pPr>
      <w:r>
        <w:rPr>
          <w:b w:val="false"/>
          <w:sz w:val="20"/>
        </w:rPr>
      </w:r>
    </w:p>
    <w:p>
      <w:pPr>
        <w:pStyle w:val="BodyText"/>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ind w:firstLine="720" w:end="0"/>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EITHER PARTY be liable to THE OTHER PARTY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SUCH OTHER PARTY,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BodyTextIndent2"/>
        <w:spacing w:before="0" w:after="0"/>
        <w:rPr/>
      </w:pPr>
      <w:r>
        <w:rPr/>
        <w:t>12.8</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both"/>
        <w:rPr/>
      </w:pPr>
      <w:r>
        <w:rPr/>
        <w:t>Section 36 of 51 N/74W</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and will construct and install facilities capable of providing gathering and compression services for 6,000 Mcf per day of Owner’s Daily Deliverability of Gas from the Receipt Point.</w:t>
      </w:r>
    </w:p>
    <w:p>
      <w:pPr>
        <w:pStyle w:val="Normal"/>
        <w:spacing w:before="120" w:after="0"/>
        <w:ind w:firstLine="720" w:end="0"/>
        <w:jc w:val="both"/>
        <w:rPr>
          <w:b/>
        </w:rPr>
      </w:pPr>
      <w:r>
        <w:rPr>
          <w:b/>
        </w:rPr>
      </w:r>
      <w:r>
        <w:br w:type="page"/>
      </w:r>
    </w:p>
    <w:p>
      <w:pPr>
        <w:pStyle w:val="Normal"/>
        <w:spacing w:before="120" w:after="0"/>
        <w:ind w:firstLine="720" w:end="0"/>
        <w:jc w:val="both"/>
        <w:rPr>
          <w:b/>
        </w:rPr>
      </w:pPr>
      <w:r>
        <w:rPr>
          <w:b/>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mutually agreeable intervals determined to be appropriate by  the Parties.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volume of Gas measured shall be multiplied by the applicable dry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mutually agreeable intervals determined to be appropriate by the Parties,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FootnoteText"/>
        <w:rPr/>
      </w:pPr>
      <w:r>
        <w:rPr/>
      </w:r>
    </w:p>
    <w:p>
      <w:pPr>
        <w:pStyle w:val="Footer"/>
        <w:tabs>
          <w:tab w:val="clear" w:pos="4320"/>
          <w:tab w:val="clear" w:pos="8640"/>
        </w:tabs>
        <w:jc w:val="center"/>
        <w:rPr/>
      </w:pPr>
      <w:r>
        <w:rPr/>
      </w:r>
    </w:p>
    <w:p>
      <w:pPr>
        <w:pStyle w:val="Normal"/>
        <w:rPr/>
      </w:pPr>
      <w:r>
        <w:rPr/>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/mnt/main-storage/datasets/enron-docs/doc/Yates_West_Kitty_Gath_Srvcs_01_26_00.doc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2000-01-26T17:29:00Z</dcterms:created>
  <dc:creator>Daniel J. Hyvl</dc:creator>
  <dc:description/>
  <dc:language>en-CA</dc:language>
  <cp:lastModifiedBy>Dan J. Bump</cp:lastModifiedBy>
  <cp:lastPrinted>2000-01-27T09:40:00Z</cp:lastPrinted>
  <dcterms:modified xsi:type="dcterms:W3CDTF">2000-01-31T21:10:00Z</dcterms:modified>
  <cp:revision>12</cp:revision>
  <dc:subject/>
  <dc:title>GATHERING SERVICES AGREEMENT</dc:title>
</cp:coreProperties>
</file>