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Yates Petroleum Corporation,</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____ day of _________________, 1999,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BodyTextIndent3"/>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BodyTextIndent3"/>
        <w:tabs>
          <w:tab w:val="clear" w:pos="720"/>
          <w:tab w:val="left" w:pos="630" w:leader="none"/>
        </w:tabs>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per MMBtu  shall be equal to the Inside F.E.R.C. first of the Month "Index Price" for Colorado Interstate Gas Co. – Rocky Mountains, less the Gathering Services Fee including fuel and shrinkage:</w:t>
      </w:r>
    </w:p>
    <w:p>
      <w:pPr>
        <w:pStyle w:val="Normal"/>
        <w:tabs>
          <w:tab w:val="clear" w:pos="720"/>
          <w:tab w:val="left" w:pos="630" w:leader="none"/>
        </w:tabs>
        <w:ind w:start="1440" w:end="0"/>
        <w:jc w:val="both"/>
        <w:rPr/>
      </w:pPr>
      <w:r>
        <w:rPr/>
      </w:r>
    </w:p>
    <w:p>
      <w:pPr>
        <w:pStyle w:val="BodyTextIndent2"/>
        <w:rPr/>
      </w:pPr>
      <w:r>
        <w:rPr/>
        <w:t xml:space="preserve"> </w:t>
      </w:r>
      <w:r>
        <w:rPr/>
        <w:t>(ii)</w:t>
        <w:tab/>
        <w:t xml:space="preserve">for the remaining volume of Seller's Gas delivered hereunder each Day the price shall equal the Gas Daily Price for Rockies, CIG (North System) for each Day minus $0.02 per MMBtu, less the Gathering Services Fee including fuel and shrinkage. </w:t>
      </w:r>
    </w:p>
    <w:p>
      <w:pPr>
        <w:pStyle w:val="Normal"/>
        <w:ind w:hanging="720" w:start="2160" w:end="0"/>
        <w:jc w:val="both"/>
        <w:rPr/>
      </w:pPr>
      <w:r>
        <w:rPr/>
      </w:r>
    </w:p>
    <w:p>
      <w:pPr>
        <w:pStyle w:val="BodyTextIndent"/>
        <w:tabs>
          <w:tab w:val="clear" w:pos="630"/>
          <w:tab w:val="left" w:pos="720" w:leader="none"/>
        </w:tabs>
        <w:ind w:hanging="0" w:start="720" w:end="0"/>
        <w:rPr>
          <w:rFonts w:ascii="Times New Roman" w:hAnsi="Times New Roman" w:cs="Times New Roman"/>
          <w:sz w:val="20"/>
        </w:rPr>
      </w:pPr>
      <w:r>
        <w:rPr>
          <w:rFonts w:cs="Times New Roman" w:ascii="Times New Roman" w:hAnsi="Times New Roman"/>
          <w:sz w:val="20"/>
        </w:rPr>
        <w:t>If one of the  referenced index is not available in the future, and the Parties do not agree to an alternative as of the end of the first Month for which the price could not be determined, then the remaining referenced index will be used; provided however, if both of the referenced indices are not available in the future, and the Parties do not agree to an alternative as of the end of the first Month for which the price could not be determined, then this Agreement shall be terminated and the Gathering Services Agreement shall be controlling.</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2.2.  </w:t>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xml:space="preserve">").  Upon the making of the Renegotiation Election the parties shall attempt to renegotiate the Contract Price.  If the Parties cannot agree in writing upon a renegotiated Contract Price </w:t>
      </w:r>
      <w:r>
        <w:rPr>
          <w:kern w:val="2"/>
        </w:rPr>
        <w:t>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Heading2"/>
        <w:widowControl/>
        <w:ind w:hanging="0" w:end="0"/>
        <w:rPr/>
      </w:pPr>
      <w:r>
        <w:rPr>
          <w:rFonts w:cs="Times New Roman" w:ascii="Times New Roman" w:hAnsi="Times New Roman"/>
          <w:b/>
          <w:sz w:val="20"/>
        </w:rPr>
        <w:t>3.1.</w:t>
      </w:r>
      <w:r>
        <w:rPr>
          <w:rFonts w:cs="Times New Roman" w:ascii="Times New Roman" w:hAnsi="Times New Roman"/>
          <w:sz w:val="20"/>
        </w:rPr>
        <w:t xml:space="preserve">  </w:t>
      </w:r>
      <w:r>
        <w:rPr>
          <w:rFonts w:cs="Times New Roman" w:ascii="Times New Roman" w:hAnsi="Times New Roman"/>
          <w:b/>
          <w:sz w:val="20"/>
          <w:u w:val="single"/>
        </w:rPr>
        <w:t>Seller's Commitment</w:t>
      </w:r>
      <w:r>
        <w:rPr>
          <w:rFonts w:cs="Times New Roman" w:ascii="Times New Roman" w:hAnsi="Times New Roman"/>
          <w:sz w:val="20"/>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 Commitment</w:t>
      </w:r>
      <w:r>
        <w:rPr/>
        <w:t xml:space="preserve">. Except as otherwise provided herein, Buyer commits to purchase and receive at the Delivery Point(s), or cause to be received for Buyer's account, Seller's Daily Deliverability of Gas us to the Maximum Daily Quantity;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reciprocating compression facilities which have an average design suction pressure of eighty (80)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the terms of this Agreement.  If the Parties are unable to renegotiate the terms of the Agreement within thirty (30) days, then Buyer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YATES PETROLEUM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jc w:val="both"/>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r>
        <w:rPr/>
        <w:t>.</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$0.28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12,000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w:t>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Contain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tabs>
          <w:tab w:val="clear" w:pos="720"/>
          <w:tab w:val="left" w:pos="5040" w:leader="none"/>
        </w:tabs>
        <w:jc w:val="both"/>
        <w:rPr/>
      </w:pPr>
      <w:r>
        <w:rPr>
          <w:b/>
        </w:rPr>
        <w:t xml:space="preserve">Notices/Correspondence: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Invoices and Accounting Matters:</w:t>
        <w:tab/>
      </w:r>
      <w:r>
        <w:rPr/>
        <w:t>Same as above</w:t>
      </w:r>
    </w:p>
    <w:p>
      <w:pPr>
        <w:pStyle w:val="Normal"/>
        <w:jc w:val="both"/>
        <w:rPr>
          <w:b/>
        </w:rPr>
      </w:pPr>
      <w:r>
        <w:rPr>
          <w:b/>
        </w:rPr>
      </w:r>
    </w:p>
    <w:p>
      <w:pPr>
        <w:pStyle w:val="Normal"/>
        <w:tabs>
          <w:tab w:val="clear" w:pos="720"/>
          <w:tab w:val="left" w:pos="5040" w:leader="none"/>
        </w:tabs>
        <w:jc w:val="both"/>
        <w:rPr/>
      </w:pPr>
      <w:r>
        <w:rPr>
          <w:b/>
        </w:rPr>
        <w:t>Payments:</w:t>
        <w:tab/>
      </w:r>
      <w:r>
        <w:rPr/>
        <w:t>by Wire Transfer</w:t>
      </w:r>
    </w:p>
    <w:p>
      <w:pPr>
        <w:pStyle w:val="Normal"/>
        <w:tabs>
          <w:tab w:val="clear" w:pos="720"/>
          <w:tab w:val="left" w:pos="5040" w:leader="none"/>
        </w:tabs>
        <w:jc w:val="both"/>
        <w:rPr/>
      </w:pPr>
      <w:r>
        <w:rPr/>
        <w:tab/>
        <w:t>NationsBank of Texas, N.A.</w:t>
      </w:r>
    </w:p>
    <w:p>
      <w:pPr>
        <w:pStyle w:val="Normal"/>
        <w:tabs>
          <w:tab w:val="clear" w:pos="720"/>
          <w:tab w:val="left" w:pos="5040" w:leader="none"/>
        </w:tabs>
        <w:jc w:val="both"/>
        <w:rPr/>
      </w:pPr>
      <w:r>
        <w:rPr/>
        <w:tab/>
        <w:t>ABA Route # 111000025</w:t>
      </w:r>
    </w:p>
    <w:p>
      <w:pPr>
        <w:pStyle w:val="Normal"/>
        <w:tabs>
          <w:tab w:val="clear" w:pos="720"/>
          <w:tab w:val="left" w:pos="5040" w:leader="none"/>
        </w:tabs>
        <w:jc w:val="both"/>
        <w:rPr/>
      </w:pPr>
      <w:r>
        <w:rPr/>
        <w:tab/>
        <w:t>Acct # 4140327387</w:t>
      </w:r>
    </w:p>
    <w:p>
      <w:pPr>
        <w:pStyle w:val="Normal"/>
        <w:jc w:val="both"/>
        <w:rPr>
          <w:b/>
        </w:rPr>
      </w:pPr>
      <w:r>
        <w:rPr>
          <w:b/>
        </w:rPr>
      </w:r>
    </w:p>
    <w:p>
      <w:pPr>
        <w:pStyle w:val="Normal"/>
        <w:tabs>
          <w:tab w:val="clear" w:pos="720"/>
          <w:tab w:val="left" w:pos="5040" w:leader="none"/>
        </w:tabs>
        <w:jc w:val="both"/>
        <w:rPr/>
      </w:pPr>
      <w:r>
        <w:rPr>
          <w:b/>
        </w:rPr>
        <w:t xml:space="preserve">Nominations: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 xml:space="preserve">Confirmations: </w:t>
        <w:tab/>
      </w:r>
      <w:r>
        <w:rPr/>
        <w:t>Same as above</w:t>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tabs>
          <w:tab w:val="clear" w:pos="720"/>
          <w:tab w:val="left" w:pos="5040" w:leader="none"/>
        </w:tabs>
        <w:jc w:val="both"/>
        <w:rPr/>
      </w:pPr>
      <w:r>
        <w:rPr>
          <w:b/>
        </w:rPr>
        <w:t>Notices/Correspondence:</w:t>
        <w:tab/>
      </w:r>
      <w:r>
        <w:rPr/>
        <w:t>Yates Petroleum Corporation</w:t>
      </w:r>
    </w:p>
    <w:p>
      <w:pPr>
        <w:pStyle w:val="Normal"/>
        <w:tabs>
          <w:tab w:val="clear" w:pos="720"/>
          <w:tab w:val="left" w:pos="5040" w:leader="none"/>
        </w:tabs>
        <w:jc w:val="both"/>
        <w:rPr>
          <w:u w:val="single"/>
        </w:rPr>
      </w:pPr>
      <w:r>
        <w:rPr/>
        <w:tab/>
        <w:t>105 South Fourth Street</w:t>
      </w:r>
    </w:p>
    <w:p>
      <w:pPr>
        <w:pStyle w:val="Normal"/>
        <w:tabs>
          <w:tab w:val="clear" w:pos="720"/>
          <w:tab w:val="left" w:pos="5040" w:leader="none"/>
        </w:tabs>
        <w:jc w:val="both"/>
        <w:rPr/>
      </w:pPr>
      <w:r>
        <w:rPr/>
        <w:tab/>
        <w:t>Artesia, NW  88210</w:t>
      </w:r>
    </w:p>
    <w:p>
      <w:pPr>
        <w:pStyle w:val="Normal"/>
        <w:tabs>
          <w:tab w:val="clear" w:pos="720"/>
          <w:tab w:val="left" w:pos="5040" w:leader="none"/>
        </w:tabs>
        <w:jc w:val="both"/>
        <w:rPr/>
      </w:pPr>
      <w:r>
        <w:rPr/>
        <w:tab/>
        <w:t>Phone: (505) 748-1471</w:t>
      </w:r>
    </w:p>
    <w:p>
      <w:pPr>
        <w:pStyle w:val="Normal"/>
        <w:tabs>
          <w:tab w:val="clear" w:pos="720"/>
          <w:tab w:val="left" w:pos="5040" w:leader="none"/>
        </w:tabs>
        <w:jc w:val="both"/>
        <w:rPr/>
      </w:pPr>
      <w:r>
        <w:rPr/>
        <w:tab/>
        <w:t>Fax: (505) 748-4576</w:t>
      </w:r>
    </w:p>
    <w:p>
      <w:pPr>
        <w:pStyle w:val="Normal"/>
        <w:jc w:val="both"/>
        <w:rPr/>
      </w:pPr>
      <w:r>
        <w:rPr/>
      </w:r>
    </w:p>
    <w:p>
      <w:pPr>
        <w:pStyle w:val="Normal"/>
        <w:tabs>
          <w:tab w:val="clear" w:pos="720"/>
          <w:tab w:val="left" w:pos="5040" w:leader="none"/>
        </w:tabs>
        <w:jc w:val="both"/>
        <w:rPr/>
      </w:pPr>
      <w:r>
        <w:rPr>
          <w:b/>
        </w:rPr>
        <w:t>Invoices and Accounting Matters:</w:t>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_______________</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 xml:space="preserve">RETURN THIS DOCUMENT TO: </w:t>
        <w:tab/>
        <w:t>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YATES PETROLEUM CORPORATION</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____________ of  Yates Petroleum Corporation,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firstLine="720" w:start="3600" w:end="0"/>
        <w:jc w:val="both"/>
        <w:rPr/>
      </w:pPr>
      <w:r>
        <w:rPr/>
        <w:t>My Commission Expires:  _________________________</w:t>
      </w:r>
    </w:p>
    <w:p>
      <w:pPr>
        <w:pStyle w:val="Normal"/>
        <w:ind w:start="2160" w:end="0"/>
        <w:jc w:val="both"/>
        <w:rPr>
          <w:lang w:val="en-CA"/>
        </w:rPr>
      </w:pPr>
      <w:r>
        <w:rPr>
          <w:lang w:val="en-CA"/>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/mnt/main-storage/datasets/enron-docs/doc/YatesGPA1.doc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6"/>
        <w:u w:val="single"/>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/mnt/main-storage/datasets/enron-docs/doc/YatesGPA1.doc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/mnt/main-storage/datasets/enron-docs/doc/YatesGPA1.doc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/mnt/main-storage/datasets/enron-docs/doc/YatesGPA1.doc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/mnt/main-storage/datasets/enron-docs/doc/YatesGPA1.doc</w:t>
    </w:r>
    <w:r>
      <w:rP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630" w:leader="none"/>
        <w:tab w:val="left" w:pos="2160" w:leader="none"/>
      </w:tabs>
      <w:ind w:hanging="720" w:start="216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1999-10-13T16:07:00Z</dcterms:created>
  <dc:creator>Daniel J. Hyvl</dc:creator>
  <dc:description/>
  <dc:language>en-CA</dc:language>
  <cp:lastModifiedBy>Daniel J. Hyvl</cp:lastModifiedBy>
  <dcterms:modified xsi:type="dcterms:W3CDTF">1999-10-15T12:35:00Z</dcterms:modified>
  <cp:revision>6</cp:revision>
  <dc:subject/>
  <dc:title>GAS PURCHASE AGREEMENT </dc:title>
</cp:coreProperties>
</file>