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Yankee Gas Services Company a Conneticut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October,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all Transactions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and (ii) withhold any payments due in respect of such Transactions.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$15,000,000,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Termination Offset</w:t>
      </w:r>
      <w:r>
        <w:rPr>
          <w:rFonts w:cs="Arial Narrow" w:ascii="Arial Narrow" w:hAnsi="Arial Narrow"/>
          <w:sz w:val="18"/>
        </w:rPr>
        <w:t xml:space="preserve">.  Upon the designation or deemed designation of an Early Termination Date, the Notifying Party may, at its option and in its discretion, setoff, against any amounts Owed to the Affected Party by the Notifying Party or any Affiliate of the Notifying Party under this Agreement or under any other agreement(s), instrument(s) or undertaking(s), any amounts Owed by the Affected Party to the Notifying Party or any of the Notifying Party’s Affiliates under this Agreement or under any other agreement(s), instrument(s) or undertaking(s).  The obligations of the Affected Party and the Notifying Party under this Agreement in respect of such amounts shall be deemed satisfied and discharged to the extent of any such setoff exercised by the Notifying Party and/or the Notifying Party’s Affiliates.  The Notifying Party will give the Affected Party notice of any setoff effected under this section as soon as practicable after the setoff is effected provided that failure to give such notice shall not affect the validity of the setoff.  For purposes of this </w:t>
      </w:r>
      <w:r>
        <w:rPr>
          <w:rFonts w:cs="Arial Narrow" w:ascii="Arial Narrow" w:hAnsi="Arial Narrow"/>
          <w:sz w:val="18"/>
          <w:u w:val="single"/>
        </w:rPr>
        <w:t>Section 4.5</w:t>
      </w:r>
      <w:r>
        <w:rPr>
          <w:rFonts w:cs="Arial Narrow" w:ascii="Arial Narrow" w:hAnsi="Arial Narrow"/>
          <w:sz w:val="18"/>
        </w:rPr>
        <w:t xml:space="preserve">, “Owed” shall mean any amounts owed or otherwise accrued and payable (regardless of whether such amounts have been or could be invoiced) as of the Early Termination Date.  Amounts subject to the setoff permitted in this </w:t>
      </w:r>
      <w:r>
        <w:rPr>
          <w:rFonts w:cs="Arial Narrow" w:ascii="Arial Narrow" w:hAnsi="Arial Narrow"/>
          <w:sz w:val="18"/>
          <w:u w:val="single"/>
        </w:rPr>
        <w:t>Section 4.5</w:t>
      </w:r>
      <w:r>
        <w:rPr>
          <w:rFonts w:cs="Arial Narrow" w:ascii="Arial Narrow" w:hAnsi="Arial Narrow"/>
          <w:sz w:val="18"/>
        </w:rPr>
        <w:t xml:space="preserve"> may be converted by the Notifying Party into any currency in which any obligation Owed is denominated at the rate of exchange at which the Notifying Party, acting in a reasonable manner and in good faith, would be able to purchase the relevant amount of the currency being converted.  If an obligation is unascertained, the Notifying Party may in good faith estimate that obligation and setoff in respect of the estimate, subject to the relevant party accounting to the other when the obligation is ascertained.  Nothing in this </w:t>
      </w:r>
      <w:r>
        <w:rPr>
          <w:rFonts w:cs="Arial Narrow" w:ascii="Arial Narrow" w:hAnsi="Arial Narrow"/>
          <w:sz w:val="18"/>
          <w:u w:val="single"/>
        </w:rPr>
        <w:t>Section 4.5</w:t>
      </w:r>
      <w:r>
        <w:rPr>
          <w:rFonts w:cs="Arial Narrow" w:ascii="Arial Narrow" w:hAnsi="Arial Narrow"/>
          <w:sz w:val="18"/>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w:t>
      </w:r>
      <w:r>
        <w:rPr>
          <w:rFonts w:cs="Arial Narrow" w:ascii="Arial Narrow" w:hAnsi="Arial Narrow"/>
          <w:sz w:val="18"/>
          <w:u w:val="single"/>
        </w:rPr>
        <w:t>Section 4.5</w:t>
      </w:r>
      <w:r>
        <w:rPr>
          <w:rFonts w:cs="Arial Narrow" w:ascii="Arial Narrow" w:hAnsi="Arial Narrow"/>
          <w:sz w:val="18"/>
        </w:rPr>
        <w:t xml:space="preserve"> are an integral part of the agreement between the parties and that without such rights the parties would not be willing to enter into Transactions.  The parties further acknowledge that each is executing this Agreement on behalf of itself as principal and, with respect to this </w:t>
      </w:r>
      <w:r>
        <w:rPr>
          <w:rFonts w:cs="Arial Narrow" w:ascii="Arial Narrow" w:hAnsi="Arial Narrow"/>
          <w:sz w:val="18"/>
          <w:u w:val="single"/>
        </w:rPr>
        <w:t>Section 4.5</w:t>
      </w:r>
      <w:r>
        <w:rPr>
          <w:rFonts w:cs="Arial Narrow" w:ascii="Arial Narrow" w:hAnsi="Arial Narrow"/>
          <w:sz w:val="18"/>
        </w:rPr>
        <w:t xml:space="preserve">, as agent on behalf of its Affiliates, which Affiliates shall receive the benefits of this </w:t>
      </w:r>
      <w:r>
        <w:rPr>
          <w:rFonts w:cs="Arial Narrow" w:ascii="Arial Narrow" w:hAnsi="Arial Narrow"/>
          <w:sz w:val="18"/>
          <w:u w:val="single"/>
        </w:rPr>
        <w:t>Section 4.5</w:t>
      </w:r>
      <w:r>
        <w:rPr>
          <w:rFonts w:cs="Arial Narrow" w:ascii="Arial Narrow" w:hAnsi="Arial Narrow"/>
          <w:sz w:val="18"/>
        </w:rPr>
        <w:t xml:space="preserve"> and otherwise be bound as if such Affiliates had entered into this Agreement as its relates to </w:t>
      </w:r>
      <w:r>
        <w:rPr>
          <w:rFonts w:cs="Arial Narrow" w:ascii="Arial Narrow" w:hAnsi="Arial Narrow"/>
          <w:sz w:val="18"/>
          <w:u w:val="single"/>
        </w:rPr>
        <w:t>Section 4.5</w:t>
      </w:r>
      <w:r>
        <w:rPr>
          <w:rFonts w:cs="Arial Narrow" w:ascii="Arial Narrow" w:hAnsi="Arial Narrow"/>
          <w:sz w:val="18"/>
        </w:rPr>
        <w:t xml:space="preserve">.  Notwithstanding any provision to the contrary contained in this Agreement, the Notifying Party shall not be required to pay to the Affected Party any amount under </w:t>
      </w:r>
      <w:r>
        <w:rPr>
          <w:rFonts w:cs="Arial Narrow" w:ascii="Arial Narrow" w:hAnsi="Arial Narrow"/>
          <w:sz w:val="18"/>
          <w:u w:val="single"/>
        </w:rPr>
        <w:t>Section 4.5</w:t>
      </w:r>
      <w:r>
        <w:rPr>
          <w:rFonts w:cs="Arial Narrow" w:ascii="Arial Narrow" w:hAnsi="Arial Narrow"/>
          <w:sz w:val="18"/>
        </w:rPr>
        <w:t xml:space="preserve">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Agreement or under any other agreement(s), instrument(s) or undertaking(s), which are Owed as of the Early Termination Date have been fully and finally satisfied.</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4.7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For purposes of this Section 4.7,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for a period of two years.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keepNext w:val="true"/>
        <w:keepLines/>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keepNext w:val="true"/>
        <w:keepLines/>
        <w:jc w:val="both"/>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keepNext w:val="true"/>
        <w:keepLines/>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YANKEE GAS SERVICES COMPANY</w:t>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keepNext w:val="true"/>
        <w:keepLines/>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keepNext w:val="true"/>
        <w:keepLines/>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keepNext w:val="true"/>
        <w:keepLines/>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/mnt/main-storage/datasets/enron-docs/doc/Yankee_Gas.doc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long-term debt of the subject party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senior unsecured long-term debt unsupported by third party credit enhancement that is rated by Standard &amp; Poor's Corporation below BBB- or rated by Moody’s Corporation below Baa3 or (ii) with respect to Customer, Customer shall have any of the following occurring at any time (a) the ratio of its Funded Debt to Net Worth is more than 0.5; or (b) its Net Worth falls below $350,000,000; or (c) its Current Ratio is less than .80.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b/>
          <w:bCs/>
          <w:i/>
          <w:iCs/>
          <w:sz w:val="18"/>
          <w:u w:val="single"/>
        </w:rPr>
        <w:t>"Net Income</w:t>
      </w:r>
      <w:r>
        <w:rPr>
          <w:rFonts w:cs="Arial Narrow" w:ascii="Arial Narrow" w:hAnsi="Arial Narrow"/>
          <w:sz w:val="18"/>
        </w:rPr>
        <w:t>" means consolidated gross revenues of Customer, Customer’s Guarantor and other proper income credits, less all proper income charges, including taxes on income, all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Platts, a division of The McGraw-Hill Companies,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Yankee Gas Services Co., Inc.</w:t>
      </w:r>
    </w:p>
    <w:p>
      <w:pPr>
        <w:pStyle w:val="Normal"/>
        <w:jc w:val="both"/>
        <w:rPr>
          <w:rFonts w:ascii="Arial Narrow" w:hAnsi="Arial Narrow" w:cs="Arial Narrow"/>
          <w:sz w:val="18"/>
        </w:rPr>
      </w:pPr>
      <w:r>
        <w:rPr>
          <w:rFonts w:cs="Arial Narrow" w:ascii="Arial Narrow" w:hAnsi="Arial Narrow"/>
          <w:sz w:val="18"/>
        </w:rPr>
        <w:t>599 Research Parkway</w:t>
      </w:r>
    </w:p>
    <w:p>
      <w:pPr>
        <w:pStyle w:val="Normal"/>
        <w:jc w:val="both"/>
        <w:rPr>
          <w:rFonts w:ascii="Arial Narrow" w:hAnsi="Arial Narrow" w:cs="Arial Narrow"/>
          <w:sz w:val="18"/>
        </w:rPr>
      </w:pPr>
      <w:r>
        <w:rPr>
          <w:rFonts w:cs="Arial Narrow" w:ascii="Arial Narrow" w:hAnsi="Arial Narrow"/>
          <w:sz w:val="18"/>
        </w:rPr>
        <w:t>Meriden, CT  06450</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Yankee Gas Services Co., Inc.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Yankee Gas Services Co., Inc.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October 1, 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Yankee Gas Services Co., Inc. a _____________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YANKEE GAS SERVICES CO., INC.</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u w:val="single"/>
        </w:rPr>
        <w:tab/>
        <w:tab/>
        <w:tab/>
        <w:tab/>
      </w:r>
      <w:r>
        <w:rPr>
          <w:rFonts w:cs="Arial Narrow" w:ascii="Arial Narrow" w:hAnsi="Arial Narrow"/>
          <w:sz w:val="18"/>
        </w:rPr>
        <w:tab/>
        <w:tab/>
      </w:r>
      <w:r>
        <w:rPr>
          <w:rFonts w:cs="Arial Narrow" w:ascii="Arial Narrow" w:hAnsi="Arial Narrow"/>
          <w:sz w:val="18"/>
          <w:u w:val="single"/>
        </w:rPr>
        <w:tab/>
        <w:tab/>
        <w:tab/>
        <w:tab/>
      </w:r>
    </w:p>
    <w:p>
      <w:pPr>
        <w:pStyle w:val="Normal"/>
        <w:jc w:val="both"/>
        <w:rPr/>
      </w:pPr>
      <w:r>
        <w:rPr>
          <w:rFonts w:cs="Arial Narrow" w:ascii="Arial Narrow" w:hAnsi="Arial Narrow"/>
          <w:sz w:val="18"/>
        </w:rPr>
        <w:t xml:space="preserve">By </w:t>
      </w:r>
      <w:r>
        <w:rPr>
          <w:rFonts w:cs="Arial Narrow" w:ascii="Arial Narrow" w:hAnsi="Arial Narrow"/>
          <w:sz w:val="18"/>
          <w:u w:val="single"/>
        </w:rPr>
        <w:tab/>
        <w:tab/>
        <w:tab/>
        <w:tab/>
      </w:r>
      <w:r>
        <w:rPr>
          <w:rFonts w:cs="Arial Narrow" w:ascii="Arial Narrow" w:hAnsi="Arial Narrow"/>
          <w:sz w:val="18"/>
        </w:rPr>
        <w:tab/>
        <w:tab/>
        <w:t xml:space="preserve">By </w:t>
      </w:r>
      <w:r>
        <w:rPr>
          <w:rFonts w:cs="Arial Narrow" w:ascii="Arial Narrow" w:hAnsi="Arial Narrow"/>
          <w:sz w:val="18"/>
          <w:u w:val="single"/>
        </w:rPr>
        <w:tab/>
        <w:tab/>
        <w:tab/>
        <w:tab/>
      </w:r>
    </w:p>
    <w:p>
      <w:pPr>
        <w:pStyle w:val="Norma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ab/>
        <w:tab/>
        <w:tab/>
        <w:tab/>
      </w:r>
      <w:r>
        <w:rPr>
          <w:rFonts w:cs="Arial Narrow" w:ascii="Arial Narrow" w:hAnsi="Arial Narrow"/>
          <w:sz w:val="18"/>
        </w:rPr>
        <w:t xml:space="preserve"> </w:t>
        <w:tab/>
        <w:tab/>
        <w:t>Title</w:t>
      </w:r>
      <w:r>
        <w:rPr>
          <w:rFonts w:cs="Arial Narrow" w:ascii="Arial Narrow" w:hAnsi="Arial Narrow"/>
          <w:sz w:val="18"/>
          <w:u w:val="single"/>
        </w:rPr>
        <w:tab/>
        <w:tab/>
        <w:tab/>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rPr/>
      </w:pPr>
      <w:r>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7</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2001-10-10T14:29:00Z</dcterms:created>
  <dc:creator>dperlin</dc:creator>
  <dc:description/>
  <dc:language>en-CA</dc:language>
  <cp:lastModifiedBy>sdickso</cp:lastModifiedBy>
  <cp:lastPrinted>2001-10-16T14:16:00Z</cp:lastPrinted>
  <dcterms:modified xsi:type="dcterms:W3CDTF">2001-11-16T14:57:00Z</dcterms:modified>
  <cp:revision>11</cp:revision>
  <dc:subject/>
  <dc:title>ENFOLIO® MASTER FIRM PURCHASE/SALE AGREEMENT</dc:title>
</cp:coreProperties>
</file>