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4"/>
        </w:rPr>
      </w:pPr>
      <w:r>
        <w:rPr>
          <w:rFonts w:cs="Arial Narrow" w:ascii="Arial Narrow" w:hAnsi="Arial Narrow"/>
          <w:sz w:val="24"/>
        </w:rPr>
        <w:t>[Enron Power Operations Limited]</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Heading4"/>
        <w:ind w:hanging="0" w:start="0"/>
        <w:rPr>
          <w:b/>
        </w:rPr>
      </w:pPr>
      <w:r>
        <w:rPr>
          <w:b/>
        </w:rPr>
        <w:t>DRAFT</w:t>
      </w:r>
    </w:p>
    <w:p>
      <w:pPr>
        <w:pStyle w:val="Normal"/>
        <w:rPr>
          <w:rFonts w:ascii="Arial Narrow" w:hAnsi="Arial Narrow" w:cs="Arial Narrow"/>
          <w:b/>
          <w:sz w:val="24"/>
        </w:rPr>
      </w:pPr>
      <w:r>
        <w:rPr>
          <w:rFonts w:cs="Arial Narrow" w:ascii="Arial Narrow" w:hAnsi="Arial Narrow"/>
          <w:b/>
          <w:sz w:val="24"/>
        </w:rPr>
      </w:r>
    </w:p>
    <w:p>
      <w:pPr>
        <w:pStyle w:val="Normal"/>
        <w:rPr>
          <w:rFonts w:ascii="Arial Narrow" w:hAnsi="Arial Narrow" w:cs="Arial Narrow"/>
          <w:sz w:val="24"/>
        </w:rPr>
      </w:pPr>
      <w:r>
        <w:rPr>
          <w:rFonts w:cs="Arial Narrow" w:ascii="Arial Narrow" w:hAnsi="Arial Narrow"/>
          <w:sz w:val="24"/>
        </w:rPr>
      </w:r>
    </w:p>
    <w:p>
      <w:pPr>
        <w:pStyle w:val="Heading1"/>
        <w:ind w:hanging="0" w:start="0"/>
        <w:rPr>
          <w:rFonts w:ascii="Times New Roman" w:hAnsi="Times New Roman" w:cs="Times New Roman"/>
        </w:rPr>
      </w:pPr>
      <w:r>
        <w:rPr>
          <w:rFonts w:cs="Times New Roman" w:ascii="Times New Roman" w:hAnsi="Times New Roman"/>
        </w:rPr>
        <w:t>[●] February 2000</w:t>
      </w:r>
    </w:p>
    <w:p>
      <w:pPr>
        <w:pStyle w:val="Normal"/>
        <w:rPr>
          <w:rFonts w:ascii="Times New Roman" w:hAnsi="Times New Roman" w:cs="Times New Roman"/>
          <w:sz w:val="24"/>
        </w:rPr>
      </w:pPr>
      <w:r>
        <w:rPr>
          <w:rFonts w:cs="Times New Roman"/>
          <w:sz w:val="24"/>
        </w:rPr>
      </w:r>
    </w:p>
    <w:p>
      <w:pPr>
        <w:pStyle w:val="Normal"/>
        <w:rPr>
          <w:sz w:val="24"/>
        </w:rPr>
      </w:pPr>
      <w:r>
        <w:rPr>
          <w:sz w:val="24"/>
        </w:rPr>
        <w:t>Yorkshire Electricity plc</w:t>
      </w:r>
    </w:p>
    <w:p>
      <w:pPr>
        <w:pStyle w:val="Normal"/>
        <w:rPr>
          <w:sz w:val="24"/>
        </w:rPr>
      </w:pPr>
      <w:r>
        <w:rPr>
          <w:sz w:val="24"/>
        </w:rPr>
        <w:t xml:space="preserve">Wetherby Rd </w:t>
      </w:r>
    </w:p>
    <w:p>
      <w:pPr>
        <w:pStyle w:val="Normal"/>
        <w:rPr>
          <w:sz w:val="24"/>
        </w:rPr>
      </w:pPr>
      <w:r>
        <w:rPr>
          <w:sz w:val="24"/>
        </w:rPr>
        <w:t xml:space="preserve">Scarcroft </w:t>
      </w:r>
    </w:p>
    <w:p>
      <w:pPr>
        <w:pStyle w:val="Normal"/>
        <w:rPr>
          <w:sz w:val="24"/>
        </w:rPr>
      </w:pPr>
      <w:r>
        <w:rPr>
          <w:sz w:val="24"/>
        </w:rPr>
        <w:t>Leeds, LS14 3HS</w:t>
      </w:r>
    </w:p>
    <w:p>
      <w:pPr>
        <w:pStyle w:val="Normal"/>
        <w:rPr>
          <w:sz w:val="24"/>
        </w:rPr>
      </w:pPr>
      <w:r>
        <w:rPr>
          <w:sz w:val="24"/>
        </w:rPr>
      </w:r>
    </w:p>
    <w:p>
      <w:pPr>
        <w:pStyle w:val="Normal"/>
        <w:rPr>
          <w:sz w:val="24"/>
        </w:rPr>
      </w:pPr>
      <w:r>
        <w:rPr>
          <w:sz w:val="24"/>
        </w:rPr>
        <w:t>Dear Sirs,</w:t>
      </w:r>
    </w:p>
    <w:p>
      <w:pPr>
        <w:pStyle w:val="Normal"/>
        <w:rPr>
          <w:sz w:val="24"/>
        </w:rPr>
      </w:pPr>
      <w:r>
        <w:rPr>
          <w:sz w:val="24"/>
        </w:rPr>
      </w:r>
    </w:p>
    <w:p>
      <w:pPr>
        <w:pStyle w:val="Heading2"/>
        <w:ind w:hanging="0" w:start="0"/>
        <w:rPr>
          <w:rFonts w:ascii="Times New Roman" w:hAnsi="Times New Roman" w:cs="Times New Roman"/>
        </w:rPr>
      </w:pPr>
      <w:r>
        <w:rPr>
          <w:rFonts w:cs="Times New Roman" w:ascii="Times New Roman" w:hAnsi="Times New Roman"/>
        </w:rPr>
        <w:t>EnronOnline – Electronic Trading Agreement (“ETA”)</w:t>
      </w:r>
    </w:p>
    <w:p>
      <w:pPr>
        <w:pStyle w:val="Normal"/>
        <w:rPr>
          <w:rFonts w:ascii="Times New Roman" w:hAnsi="Times New Roman" w:cs="Times New Roman"/>
          <w:sz w:val="24"/>
        </w:rPr>
      </w:pPr>
      <w:r>
        <w:rPr>
          <w:rFonts w:cs="Times New Roman"/>
          <w:sz w:val="24"/>
        </w:rPr>
      </w:r>
    </w:p>
    <w:p>
      <w:pPr>
        <w:pStyle w:val="Normal"/>
        <w:jc w:val="both"/>
        <w:rPr/>
      </w:pPr>
      <w:r>
        <w:rPr>
          <w:sz w:val="24"/>
        </w:rPr>
        <w:t>Further to the recent queries you raised concerning the ETA, we can provide you with the following comfort:</w:t>
      </w:r>
    </w:p>
    <w:p>
      <w:pPr>
        <w:pStyle w:val="Normal"/>
        <w:jc w:val="both"/>
        <w:rPr>
          <w:sz w:val="24"/>
        </w:rPr>
      </w:pPr>
      <w:r>
        <w:rPr>
          <w:sz w:val="24"/>
        </w:rPr>
      </w:r>
    </w:p>
    <w:p>
      <w:pPr>
        <w:pStyle w:val="Normal"/>
        <w:numPr>
          <w:ilvl w:val="0"/>
          <w:numId w:val="2"/>
        </w:numPr>
        <w:jc w:val="both"/>
        <w:rPr>
          <w:sz w:val="24"/>
        </w:rPr>
      </w:pPr>
      <w:r>
        <w:rPr>
          <w:sz w:val="24"/>
        </w:rPr>
        <w:t>Provided that a transaction is entered into via EnronOnline strictly in accordance with the terms and conditions of the ETA, the provisions of the ETA, including, for the avoidance of doubt clause 4, will not supersede or replace the terms and conditions of the GTC on the website, or any master agreement in place between the parties for the product being traded via EnronOnline.</w:t>
      </w:r>
    </w:p>
    <w:p>
      <w:pPr>
        <w:pStyle w:val="Normal"/>
        <w:jc w:val="both"/>
        <w:rPr>
          <w:sz w:val="24"/>
        </w:rPr>
      </w:pPr>
      <w:r>
        <w:rPr>
          <w:sz w:val="24"/>
        </w:rPr>
      </w:r>
    </w:p>
    <w:p>
      <w:pPr>
        <w:pStyle w:val="Normal"/>
        <w:numPr>
          <w:ilvl w:val="0"/>
          <w:numId w:val="2"/>
        </w:numPr>
        <w:jc w:val="both"/>
        <w:rPr>
          <w:sz w:val="24"/>
        </w:rPr>
      </w:pPr>
      <w:r>
        <w:rPr>
          <w:sz w:val="24"/>
        </w:rPr>
        <w:t>Once you have submitted an offer to Enron by clicking on the 'submit' button, the offer will be automatically accepted by the EnronOnline system provided that the volume submitted has not been taken by another counterparty by the time such offer has been submitted and received by the EnronOnline system.  The same principle applies if the price or price band submitted by you is no longer available by the time such offer has been received by the EnronOnline system.  Similarly, if your credit limit (as established internally by Enron) has been exceeded, the offer would not be accepted by the EnronOnline system.  Thus, provided that none of these circumstances has occurred, your offer will be automatically accepted by the EnronOnline system.</w:t>
      </w:r>
    </w:p>
    <w:p>
      <w:pPr>
        <w:pStyle w:val="Normal"/>
        <w:jc w:val="both"/>
        <w:rPr>
          <w:sz w:val="24"/>
        </w:rPr>
      </w:pPr>
      <w:r>
        <w:rPr>
          <w:sz w:val="24"/>
        </w:rPr>
      </w:r>
    </w:p>
    <w:p>
      <w:pPr>
        <w:pStyle w:val="Normal"/>
        <w:rPr>
          <w:sz w:val="24"/>
        </w:rPr>
      </w:pPr>
      <w:r>
        <w:rPr>
          <w:sz w:val="24"/>
        </w:rPr>
        <w:t>If you have any questions please do not hesitate to contact us.</w:t>
      </w:r>
    </w:p>
    <w:p>
      <w:pPr>
        <w:pStyle w:val="Normal"/>
        <w:rPr>
          <w:sz w:val="24"/>
        </w:rPr>
      </w:pPr>
      <w:r>
        <w:rPr>
          <w:sz w:val="24"/>
        </w:rPr>
      </w:r>
    </w:p>
    <w:p>
      <w:pPr>
        <w:pStyle w:val="Normal"/>
        <w:rPr>
          <w:sz w:val="24"/>
        </w:rPr>
      </w:pPr>
      <w:r>
        <w:rPr>
          <w:sz w:val="24"/>
        </w:rPr>
        <w:t>Yours faithfully,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rFonts w:ascii="Times New Roman" w:hAnsi="Times New Roman" w:cs="Times New Roman"/>
        </w:rPr>
      </w:pPr>
      <w:r>
        <w:rPr>
          <w:rFonts w:cs="Times New Roman" w:ascii="Times New Roman" w:hAnsi="Times New Roman"/>
        </w:rPr>
        <w:t>Amita Gosalia</w:t>
      </w:r>
    </w:p>
    <w:p>
      <w:pPr>
        <w:pStyle w:val="Normal"/>
        <w:rPr>
          <w:rFonts w:ascii="Times New Roman" w:hAnsi="Times New Roman" w:cs="Times New Roman"/>
          <w:sz w:val="24"/>
        </w:rPr>
      </w:pPr>
      <w:r>
        <w:rPr>
          <w:rFonts w:cs="Times New Roman"/>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outlineLvl w:val="1"/>
    </w:pPr>
    <w:rPr>
      <w:rFonts w:ascii="Arial Narrow" w:hAnsi="Arial Narrow" w:cs="Arial Narrow"/>
      <w:b/>
      <w:sz w:val="24"/>
      <w:u w:val="single"/>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24"/>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2000-02-16T16:44:00Z</dcterms:created>
  <dc:creator>TFoy</dc:creator>
  <dc:description/>
  <dc:language>en-CA</dc:language>
  <cp:lastModifiedBy>ECooper</cp:lastModifiedBy>
  <cp:lastPrinted>2000-02-16T19:07:00Z</cp:lastPrinted>
  <dcterms:modified xsi:type="dcterms:W3CDTF">2000-02-16T16:45:00Z</dcterms:modified>
  <cp:revision>3</cp:revision>
  <dc:subject/>
  <dc:title>10 January 1999</dc:title>
</cp:coreProperties>
</file>