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header2.xml.rels" ContentType="application/vnd.openxmlformats-package.relationships+xml"/>
  <Override PartName="/word/_rels/header4.xml.rels" ContentType="application/vnd.openxmlformats-package.relationships+xml"/>
  <Override PartName="/word/_rels/header6.xml.rels" ContentType="application/vnd.openxmlformats-package.relationships+xml"/>
  <Override PartName="/word/_rels/document.xml.rels" ContentType="application/vnd.openxmlformats-package.relationships+xml"/>
  <Override PartName="/word/comments.xml" ContentType="application/vnd.openxmlformats-officedocument.wordprocessingml.comments+xml"/>
  <Override PartName="/word/numbering.xml" ContentType="application/vnd.openxmlformats-officedocument.wordprocessingml.numbering+xml"/>
  <Override PartName="/word/settings.xml" ContentType="application/vnd.openxmlformats-officedocument.wordprocessingml.settings+xml"/>
  <Override PartName="/word/header2.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media/image13.png" ContentType="image/png"/>
  <Override PartName="/word/media/image12.wmf" ContentType="image/x-wmf"/>
  <Override PartName="/word/media/image10.wmf" ContentType="image/x-wmf"/>
  <Override PartName="/word/media/image1.wmf" ContentType="image/x-wmf"/>
  <Override PartName="/word/media/image9.wmf" ContentType="image/x-wmf"/>
  <Override PartName="/word/media/image19.png" ContentType="image/png"/>
  <Override PartName="/word/media/image18.png" ContentType="image/png"/>
  <Override PartName="/word/media/image17.wmf" ContentType="image/x-wmf"/>
  <Override PartName="/word/media/image15.wmf" ContentType="image/x-wmf"/>
  <Override PartName="/word/media/image3.png" ContentType="image/png"/>
  <Override PartName="/word/media/image11.wmf" ContentType="image/x-wmf"/>
  <Override PartName="/word/media/image2.wmf" ContentType="image/x-wmf"/>
  <Override PartName="/word/media/image4.wmf" ContentType="image/x-wmf"/>
  <Override PartName="/word/media/image14.wmf" ContentType="image/x-wmf"/>
  <Override PartName="/word/media/image5.wmf" ContentType="image/x-wmf"/>
  <Override PartName="/word/media/image6.png" ContentType="image/png"/>
  <Override PartName="/word/media/image16.wmf" ContentType="image/x-wmf"/>
  <Override PartName="/word/media/image7.wmf" ContentType="image/x-wmf"/>
  <Override PartName="/word/media/image8.png" ContentType="image/png"/>
  <Override PartName="/word/header5.xml" ContentType="application/vnd.openxmlformats-officedocument.wordprocessingml.header+xml"/>
  <Override PartName="/word/header3.xml" ContentType="application/vnd.openxmlformats-officedocument.wordprocessingml.header+xml"/>
  <Override PartName="/word/header7.xml" ContentType="application/vnd.openxmlformats-officedocument.wordprocessingml.header+xml"/>
  <Override PartName="/word/embeddings/oleObject1.bin" ContentType="application/vnd.openxmlformats-officedocument.oleObject"/>
  <Override PartName="/word/embeddings/oleObject2.pptx" ContentType="application/vnd.openxmlformats-officedocument.presentationml.presentation"/>
  <Override PartName="/word/document.xml" ContentType="application/vnd.openxmlformats-officedocument.wordprocessingml.document.main+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ec0"/>
        <w:rPr/>
      </w:pPr>
      <w:r>
        <w:rPr/>
        <w:t>The Power Markets</w:t>
      </w:r>
    </w:p>
    <w:p>
      <w:pPr>
        <w:pStyle w:val="SecRN0"/>
        <w:rPr/>
      </w:pPr>
      <w:r>
        <w:rPr/>
        <w:t>I.</w:t>
        <w:tab/>
        <w:t xml:space="preserve">GENERAL OVERVIEW </w:t>
      </w:r>
    </w:p>
    <w:p>
      <w:pPr>
        <w:pStyle w:val="Normal"/>
        <w:rPr/>
      </w:pPr>
      <w:r>
        <w:rPr/>
        <w:t>The following table provides a summary outline of certain criteria with respect to the relevant markets.  The specific markets as identified by ICF Resources are TVA, a subregion of SERC, ComEd, a subregion of MAIN and Southern ECAR, a subregion of ECAR.</w:t>
      </w:r>
    </w:p>
    <w:p>
      <w:pPr>
        <w:pStyle w:val="Normal"/>
        <w:rPr/>
      </w:pPr>
      <w:r>
        <w:rPr/>
      </w:r>
    </w:p>
    <w:tbl>
      <w:tblPr>
        <w:tblW w:w="9900" w:type="dxa"/>
        <w:jc w:val="start"/>
        <w:tblInd w:w="0" w:type="dxa"/>
        <w:tblLayout w:type="fixed"/>
        <w:tblCellMar>
          <w:top w:w="0" w:type="dxa"/>
          <w:start w:w="0" w:type="dxa"/>
          <w:bottom w:w="0" w:type="dxa"/>
          <w:end w:w="0" w:type="dxa"/>
        </w:tblCellMar>
      </w:tblPr>
      <w:tblGrid>
        <w:gridCol w:w="3060"/>
        <w:gridCol w:w="2280"/>
        <w:gridCol w:w="2280"/>
        <w:gridCol w:w="2280"/>
      </w:tblGrid>
      <w:tr>
        <w:trPr/>
        <w:tc>
          <w:tcPr>
            <w:tcW w:w="306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Key parameters</w:t>
            </w:r>
          </w:p>
        </w:tc>
        <w:tc>
          <w:tcPr>
            <w:tcW w:w="228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ComEd</w:t>
            </w:r>
          </w:p>
        </w:tc>
        <w:tc>
          <w:tcPr>
            <w:tcW w:w="228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Southern ecar</w:t>
            </w:r>
          </w:p>
        </w:tc>
        <w:tc>
          <w:tcPr>
            <w:tcW w:w="2280" w:type="dxa"/>
            <w:tcBorders>
              <w:top w:val="single" w:sz="18" w:space="0" w:color="000000"/>
              <w:bottom w:val="single" w:sz="6" w:space="0" w:color="000000"/>
            </w:tcBorders>
            <w:shd w:fill="003380" w:val="clear"/>
          </w:tcPr>
          <w:p>
            <w:pPr>
              <w:pStyle w:val="Normal"/>
              <w:spacing w:before="36" w:after="36"/>
              <w:jc w:val="center"/>
              <w:rPr>
                <w:b/>
                <w:caps/>
                <w:color w:val="FFFFFF"/>
                <w:sz w:val="16"/>
              </w:rPr>
            </w:pPr>
            <w:r>
              <w:rPr>
                <w:b/>
                <w:caps/>
                <w:color w:val="FFFFFF"/>
                <w:sz w:val="16"/>
              </w:rPr>
              <w:t>tva</w:t>
            </w:r>
          </w:p>
        </w:tc>
      </w:tr>
      <w:tr>
        <w:trPr/>
        <w:tc>
          <w:tcPr>
            <w:tcW w:w="3060" w:type="dxa"/>
            <w:tcBorders/>
          </w:tcPr>
          <w:p>
            <w:pPr>
              <w:pStyle w:val="Heading7"/>
              <w:spacing w:before="300" w:after="0"/>
              <w:ind w:hanging="0" w:start="0"/>
              <w:rPr>
                <w:rFonts w:ascii="Times New Roman" w:hAnsi="Times New Roman" w:cs="Times New Roman"/>
              </w:rPr>
            </w:pPr>
            <w:r>
              <w:rPr>
                <w:rFonts w:cs="Times New Roman" w:ascii="Times New Roman" w:hAnsi="Times New Roman"/>
              </w:rPr>
              <w:t>Market Maturity</w:t>
            </w:r>
          </w:p>
        </w:tc>
        <w:tc>
          <w:tcPr>
            <w:tcW w:w="2280" w:type="dxa"/>
            <w:tcBorders/>
          </w:tcPr>
          <w:p>
            <w:pPr>
              <w:pStyle w:val="Normal"/>
              <w:spacing w:before="300" w:after="0"/>
              <w:ind w:start="180" w:end="210"/>
              <w:jc w:val="center"/>
              <w:rPr/>
            </w:pPr>
            <w:r>
              <w:rPr/>
              <w:t>Robust Wholesale Market</w:t>
              <w:br/>
              <w:t>Futures Contract (CBOT)</w:t>
              <w:br/>
              <w:t>Active Bilateral Market</w:t>
            </w:r>
          </w:p>
        </w:tc>
        <w:tc>
          <w:tcPr>
            <w:tcW w:w="2280" w:type="dxa"/>
            <w:tcBorders/>
          </w:tcPr>
          <w:p>
            <w:pPr>
              <w:pStyle w:val="Normal"/>
              <w:spacing w:before="300" w:after="0"/>
              <w:ind w:start="180" w:end="210"/>
              <w:jc w:val="center"/>
              <w:rPr/>
            </w:pPr>
            <w:r>
              <w:rPr/>
              <w:t>Robust Wholesale Market</w:t>
              <w:br/>
              <w:t>Futures Contract (NYMEX)</w:t>
              <w:br/>
              <w:t>Active Bilateral Market</w:t>
            </w:r>
          </w:p>
        </w:tc>
        <w:tc>
          <w:tcPr>
            <w:tcW w:w="2280" w:type="dxa"/>
            <w:tcBorders/>
          </w:tcPr>
          <w:p>
            <w:pPr>
              <w:pStyle w:val="Normal"/>
              <w:spacing w:before="300" w:after="0"/>
              <w:ind w:start="180" w:end="210"/>
              <w:jc w:val="center"/>
              <w:rPr/>
            </w:pPr>
            <w:r>
              <w:rPr/>
              <w:t>Robust Wholesale Market</w:t>
              <w:br/>
              <w:t>Futures Contract (CBOT)</w:t>
              <w:br/>
              <w:t>Active Bilateral Market</w:t>
            </w:r>
          </w:p>
        </w:tc>
      </w:tr>
      <w:tr>
        <w:trPr/>
        <w:tc>
          <w:tcPr>
            <w:tcW w:w="3060" w:type="dxa"/>
            <w:tcBorders/>
          </w:tcPr>
          <w:p>
            <w:pPr>
              <w:pStyle w:val="Normal"/>
              <w:spacing w:before="300" w:after="0"/>
              <w:rPr>
                <w:b/>
              </w:rPr>
            </w:pPr>
            <w:r>
              <w:rPr>
                <w:b/>
              </w:rPr>
              <w:t>Annual Load Growth</w:t>
            </w:r>
          </w:p>
        </w:tc>
        <w:tc>
          <w:tcPr>
            <w:tcW w:w="2280" w:type="dxa"/>
            <w:tcBorders/>
          </w:tcPr>
          <w:p>
            <w:pPr>
              <w:pStyle w:val="Normal"/>
              <w:spacing w:before="300" w:after="0"/>
              <w:ind w:start="180" w:end="210"/>
              <w:jc w:val="center"/>
              <w:rPr/>
            </w:pPr>
            <w:r>
              <w:rPr/>
              <w:t>1.5%</w:t>
            </w:r>
          </w:p>
        </w:tc>
        <w:tc>
          <w:tcPr>
            <w:tcW w:w="2280" w:type="dxa"/>
            <w:tcBorders/>
          </w:tcPr>
          <w:p>
            <w:pPr>
              <w:pStyle w:val="Normal"/>
              <w:spacing w:before="300" w:after="0"/>
              <w:ind w:start="180" w:end="210"/>
              <w:jc w:val="center"/>
              <w:rPr/>
            </w:pPr>
            <w:r>
              <w:rPr/>
              <w:t>1.6%</w:t>
            </w:r>
          </w:p>
        </w:tc>
        <w:tc>
          <w:tcPr>
            <w:tcW w:w="2280" w:type="dxa"/>
            <w:tcBorders/>
          </w:tcPr>
          <w:p>
            <w:pPr>
              <w:pStyle w:val="Normal"/>
              <w:spacing w:before="300" w:after="0"/>
              <w:ind w:start="180" w:end="210"/>
              <w:jc w:val="center"/>
              <w:rPr/>
            </w:pPr>
            <w:r>
              <w:rPr/>
              <w:t>2.4%</w:t>
            </w:r>
          </w:p>
        </w:tc>
      </w:tr>
      <w:tr>
        <w:trPr/>
        <w:tc>
          <w:tcPr>
            <w:tcW w:w="3060" w:type="dxa"/>
            <w:tcBorders/>
          </w:tcPr>
          <w:p>
            <w:pPr>
              <w:pStyle w:val="Normal"/>
              <w:spacing w:before="300" w:after="0"/>
              <w:rPr>
                <w:b/>
              </w:rPr>
            </w:pPr>
            <w:r>
              <w:rPr>
                <w:b/>
              </w:rPr>
              <w:t>Planning Reserve Margin</w:t>
            </w:r>
          </w:p>
        </w:tc>
        <w:tc>
          <w:tcPr>
            <w:tcW w:w="2280" w:type="dxa"/>
            <w:tcBorders/>
          </w:tcPr>
          <w:p>
            <w:pPr>
              <w:pStyle w:val="Normal"/>
              <w:spacing w:before="300" w:after="0"/>
              <w:ind w:start="180" w:end="210"/>
              <w:jc w:val="center"/>
              <w:rPr/>
            </w:pPr>
            <w:r>
              <w:rPr/>
              <w:t>17%</w:t>
            </w:r>
          </w:p>
        </w:tc>
        <w:tc>
          <w:tcPr>
            <w:tcW w:w="2280" w:type="dxa"/>
            <w:tcBorders/>
          </w:tcPr>
          <w:p>
            <w:pPr>
              <w:pStyle w:val="Normal"/>
              <w:spacing w:before="300" w:after="0"/>
              <w:ind w:start="180" w:end="210"/>
              <w:jc w:val="center"/>
              <w:rPr/>
            </w:pPr>
            <w:r>
              <w:rPr/>
              <w:t>15%</w:t>
            </w:r>
          </w:p>
        </w:tc>
        <w:tc>
          <w:tcPr>
            <w:tcW w:w="2280" w:type="dxa"/>
            <w:tcBorders/>
          </w:tcPr>
          <w:p>
            <w:pPr>
              <w:pStyle w:val="Normal"/>
              <w:spacing w:before="300" w:after="0"/>
              <w:ind w:start="180" w:end="210"/>
              <w:jc w:val="center"/>
              <w:rPr/>
            </w:pPr>
            <w:r>
              <w:rPr/>
              <w:t>12%</w:t>
            </w:r>
          </w:p>
        </w:tc>
      </w:tr>
      <w:tr>
        <w:trPr/>
        <w:tc>
          <w:tcPr>
            <w:tcW w:w="3060" w:type="dxa"/>
            <w:tcBorders/>
          </w:tcPr>
          <w:p>
            <w:pPr>
              <w:pStyle w:val="Normal"/>
              <w:spacing w:before="300" w:after="0"/>
              <w:rPr>
                <w:b/>
              </w:rPr>
            </w:pPr>
            <w:r>
              <w:rPr>
                <w:b/>
              </w:rPr>
              <w:t>Average Age of Generation</w:t>
            </w:r>
            <w:r>
              <w:rPr>
                <w:b/>
                <w:vertAlign w:val="superscript"/>
              </w:rPr>
              <w:t>1</w:t>
            </w:r>
          </w:p>
        </w:tc>
        <w:tc>
          <w:tcPr>
            <w:tcW w:w="2280" w:type="dxa"/>
            <w:tcBorders/>
          </w:tcPr>
          <w:p>
            <w:pPr>
              <w:pStyle w:val="Normal"/>
              <w:spacing w:before="300" w:after="0"/>
              <w:ind w:start="180" w:end="210"/>
              <w:jc w:val="center"/>
              <w:rPr/>
            </w:pPr>
            <w:r>
              <w:rPr/>
              <w:t xml:space="preserve">+28 years </w:t>
            </w:r>
            <w:r>
              <w:rPr>
                <w:rStyle w:val="CommentReference"/>
                <w:rFonts w:cs="Arial" w:ascii="Arial" w:hAnsi="Arial"/>
                <w:vanish w:val="false"/>
              </w:rPr>
              <w:commentReference w:id="0"/>
            </w:r>
          </w:p>
        </w:tc>
        <w:tc>
          <w:tcPr>
            <w:tcW w:w="2280" w:type="dxa"/>
            <w:tcBorders/>
          </w:tcPr>
          <w:p>
            <w:pPr>
              <w:pStyle w:val="Normal"/>
              <w:spacing w:before="300" w:after="0"/>
              <w:ind w:start="180" w:end="210"/>
              <w:jc w:val="center"/>
              <w:rPr/>
            </w:pPr>
            <w:r>
              <w:rPr/>
              <w:t>+26 years</w:t>
            </w:r>
          </w:p>
        </w:tc>
        <w:tc>
          <w:tcPr>
            <w:tcW w:w="2280" w:type="dxa"/>
            <w:tcBorders/>
          </w:tcPr>
          <w:p>
            <w:pPr>
              <w:pStyle w:val="Normal"/>
              <w:spacing w:before="300" w:after="0"/>
              <w:ind w:start="180" w:end="210"/>
              <w:jc w:val="center"/>
              <w:rPr/>
            </w:pPr>
            <w:r>
              <w:rPr/>
              <w:t>+40 years</w:t>
            </w:r>
          </w:p>
        </w:tc>
      </w:tr>
      <w:tr>
        <w:trPr/>
        <w:tc>
          <w:tcPr>
            <w:tcW w:w="3060" w:type="dxa"/>
            <w:tcBorders/>
          </w:tcPr>
          <w:p>
            <w:pPr>
              <w:pStyle w:val="Normal"/>
              <w:spacing w:before="300" w:after="0"/>
              <w:rPr>
                <w:b/>
              </w:rPr>
            </w:pPr>
            <w:r>
              <w:rPr>
                <w:b/>
              </w:rPr>
              <w:t>Nuclear Generation</w:t>
            </w:r>
          </w:p>
        </w:tc>
        <w:tc>
          <w:tcPr>
            <w:tcW w:w="2280" w:type="dxa"/>
            <w:tcBorders/>
          </w:tcPr>
          <w:p>
            <w:pPr>
              <w:pStyle w:val="Normal"/>
              <w:spacing w:before="300" w:after="0"/>
              <w:ind w:start="180" w:end="210"/>
              <w:jc w:val="center"/>
              <w:rPr/>
            </w:pPr>
            <w:r>
              <w:rPr/>
              <w:t>Historically, largest nuclear fleet in U.S., older fleet to be retired, younger assets  maintained/sold</w:t>
            </w:r>
          </w:p>
        </w:tc>
        <w:tc>
          <w:tcPr>
            <w:tcW w:w="2280" w:type="dxa"/>
            <w:tcBorders/>
          </w:tcPr>
          <w:p>
            <w:pPr>
              <w:pStyle w:val="Normal"/>
              <w:spacing w:before="300" w:after="0"/>
              <w:ind w:start="180" w:end="210"/>
              <w:jc w:val="center"/>
              <w:rPr/>
            </w:pPr>
            <w:r>
              <w:rPr/>
              <w:t>Minimal nuclear exposure</w:t>
            </w:r>
          </w:p>
        </w:tc>
        <w:tc>
          <w:tcPr>
            <w:tcW w:w="2280" w:type="dxa"/>
            <w:tcBorders/>
          </w:tcPr>
          <w:p>
            <w:pPr>
              <w:pStyle w:val="Normal"/>
              <w:spacing w:before="300" w:after="0"/>
              <w:ind w:start="180" w:end="210"/>
              <w:jc w:val="center"/>
              <w:rPr/>
            </w:pPr>
            <w:r>
              <w:rPr/>
              <w:t>Existing assets to be maintained and dispatched through life of nuclear license</w:t>
            </w:r>
          </w:p>
        </w:tc>
      </w:tr>
      <w:tr>
        <w:trPr/>
        <w:tc>
          <w:tcPr>
            <w:tcW w:w="3060" w:type="dxa"/>
            <w:tcBorders>
              <w:bottom w:val="single" w:sz="4" w:space="0" w:color="000000"/>
            </w:tcBorders>
          </w:tcPr>
          <w:p>
            <w:pPr>
              <w:pStyle w:val="Normal"/>
              <w:spacing w:before="300" w:after="216"/>
              <w:rPr>
                <w:b/>
              </w:rPr>
            </w:pPr>
            <w:r>
              <w:rPr>
                <w:b/>
              </w:rPr>
              <w:t>Environmental Compliance</w:t>
            </w:r>
          </w:p>
        </w:tc>
        <w:tc>
          <w:tcPr>
            <w:tcW w:w="2280" w:type="dxa"/>
            <w:tcBorders>
              <w:bottom w:val="single" w:sz="4" w:space="0" w:color="000000"/>
            </w:tcBorders>
          </w:tcPr>
          <w:p>
            <w:pPr>
              <w:pStyle w:val="Normal"/>
              <w:spacing w:before="300" w:after="216"/>
              <w:ind w:start="180" w:end="210"/>
              <w:jc w:val="center"/>
              <w:rPr/>
            </w:pPr>
            <w:r>
              <w:rPr/>
              <w:t>Significant NOX reductions may be needed</w:t>
            </w:r>
          </w:p>
        </w:tc>
        <w:tc>
          <w:tcPr>
            <w:tcW w:w="2280" w:type="dxa"/>
            <w:tcBorders>
              <w:bottom w:val="single" w:sz="4" w:space="0" w:color="000000"/>
            </w:tcBorders>
          </w:tcPr>
          <w:p>
            <w:pPr>
              <w:pStyle w:val="Normal"/>
              <w:spacing w:before="300" w:after="216"/>
              <w:ind w:start="180" w:end="210"/>
              <w:jc w:val="center"/>
              <w:rPr/>
            </w:pPr>
            <w:r>
              <w:rPr/>
              <w:t>Heavy reliance on coal may result in significant exposure to NOx regulations</w:t>
            </w:r>
          </w:p>
        </w:tc>
        <w:tc>
          <w:tcPr>
            <w:tcW w:w="2280" w:type="dxa"/>
            <w:tcBorders>
              <w:bottom w:val="single" w:sz="4" w:space="0" w:color="000000"/>
            </w:tcBorders>
          </w:tcPr>
          <w:p>
            <w:pPr>
              <w:pStyle w:val="Normal"/>
              <w:spacing w:before="300" w:after="216"/>
              <w:ind w:start="180" w:end="210"/>
              <w:jc w:val="center"/>
              <w:rPr/>
            </w:pPr>
            <w:r>
              <w:rPr/>
              <w:t>TVA spending &gt; $2.5BN on controlling emissions at 11 coal-fired plants</w:t>
            </w:r>
          </w:p>
        </w:tc>
      </w:tr>
    </w:tbl>
    <w:p>
      <w:pPr>
        <w:sectPr>
          <w:headerReference w:type="default" r:id="rId2"/>
          <w:type w:val="nextPage"/>
          <w:pgSz w:w="12240" w:h="15840"/>
          <w:pgMar w:left="1440" w:right="720" w:gutter="0" w:header="720" w:top="1560" w:footer="0" w:bottom="1296"/>
          <w:pgNumType w:fmt="decimal"/>
          <w:formProt w:val="false"/>
          <w:textDirection w:val="lrTb"/>
          <w:docGrid w:type="default" w:linePitch="360" w:charSpace="0"/>
        </w:sectPr>
        <w:pStyle w:val="Normal"/>
        <w:rPr>
          <w:sz w:val="16"/>
        </w:rPr>
      </w:pPr>
      <w:r>
        <w:rPr>
          <w:sz w:val="16"/>
        </w:rPr>
        <w:t>(1) Average age for fossil-fuel fired generation units  only.</w:t>
      </w:r>
      <w:r>
        <w:rPr>
          <w:rStyle w:val="CommentReference"/>
          <w:rFonts w:cs="Arial" w:ascii="Arial" w:hAnsi="Arial"/>
          <w:vanish w:val="false"/>
        </w:rPr>
        <w:commentReference w:id="1"/>
      </w:r>
      <w:r>
        <w:rPr>
          <w:rStyle w:val="CommentReference"/>
          <w:rFonts w:cs="Arial" w:ascii="Arial" w:hAnsi="Arial"/>
          <w:vanish w:val="false"/>
        </w:rPr>
        <w:commentReference w:id="2"/>
      </w:r>
    </w:p>
    <w:p>
      <w:pPr>
        <w:pStyle w:val="SecRN0"/>
        <w:rPr/>
      </w:pPr>
      <w:r>
        <w:rPr/>
        <w:t>II.</w:t>
        <w:tab/>
        <w:t>INTER REGIONAL TRANSMISSION ACCESS</w:t>
      </w:r>
    </w:p>
    <w:p>
      <w:pPr>
        <w:pStyle w:val="A0"/>
        <w:rPr/>
      </w:pPr>
      <w:r>
        <w:rPr/>
        <w:t>MAIN, ECAR and TVA are neighboring systems within the Eastern Interconnect.  The map below summarizes the total transfer capability within the Eastern Interconnect.</w:t>
      </w:r>
    </w:p>
    <w:p>
      <w:pPr>
        <w:pStyle w:val="Ttl0"/>
        <w:spacing w:before="720" w:after="240"/>
        <w:jc w:val="center"/>
        <w:rPr/>
      </w:pPr>
      <w:r>
        <w:drawing>
          <wp:anchor behindDoc="0" distT="0" distB="0" distL="114935" distR="114935" simplePos="0" locked="0" layoutInCell="0" allowOverlap="1" relativeHeight="26">
            <wp:simplePos x="0" y="0"/>
            <wp:positionH relativeFrom="column">
              <wp:posOffset>822960</wp:posOffset>
            </wp:positionH>
            <wp:positionV relativeFrom="paragraph">
              <wp:posOffset>929640</wp:posOffset>
            </wp:positionV>
            <wp:extent cx="5173980" cy="3745865"/>
            <wp:effectExtent l="0" t="0" r="0" b="0"/>
            <wp:wrapTopAndBottom/>
            <wp:docPr id="8"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 title=""/>
                    <pic:cNvPicPr>
                      <a:picLocks noChangeAspect="1" noChangeArrowheads="1"/>
                    </pic:cNvPicPr>
                  </pic:nvPicPr>
                  <pic:blipFill>
                    <a:blip r:embed="rId3"/>
                    <a:srcRect l="-7" t="-10" r="-7" b="-10"/>
                    <a:stretch>
                      <a:fillRect/>
                    </a:stretch>
                  </pic:blipFill>
                  <pic:spPr bwMode="auto">
                    <a:xfrm>
                      <a:off x="0" y="0"/>
                      <a:ext cx="5173980" cy="3745865"/>
                    </a:xfrm>
                    <a:prstGeom prst="rect">
                      <a:avLst/>
                    </a:prstGeom>
                    <a:noFill/>
                  </pic:spPr>
                </pic:pic>
              </a:graphicData>
            </a:graphic>
          </wp:anchor>
        </w:drawing>
      </w:r>
      <w:r>
        <w:rPr/>
        <w:t xml:space="preserve">Eastern Interconnect Total Transfer Capability </w:t>
      </w:r>
      <w:r>
        <w:rPr>
          <w:i/>
        </w:rPr>
        <w:t>(GW)</w:t>
      </w:r>
    </w:p>
    <w:p>
      <w:pPr>
        <w:pStyle w:val="Ttl0"/>
        <w:spacing w:before="720" w:after="240"/>
        <w:jc w:val="center"/>
        <w:rPr>
          <w:i/>
          <w:i/>
        </w:rPr>
      </w:pPr>
      <w:r>
        <w:rPr>
          <w:i/>
        </w:rPr>
      </w:r>
    </w:p>
    <w:tbl>
      <w:tblPr>
        <w:tblW w:w="9990" w:type="dxa"/>
        <w:jc w:val="center"/>
        <w:tblInd w:w="0" w:type="dxa"/>
        <w:tblLayout w:type="fixed"/>
        <w:tblCellMar>
          <w:top w:w="0" w:type="dxa"/>
          <w:start w:w="108" w:type="dxa"/>
          <w:bottom w:w="0" w:type="dxa"/>
          <w:end w:w="108" w:type="dxa"/>
        </w:tblCellMar>
      </w:tblPr>
      <w:tblGrid>
        <w:gridCol w:w="9990"/>
      </w:tblGrid>
      <w:tr>
        <w:trPr/>
        <w:tc>
          <w:tcPr>
            <w:tcW w:w="9990" w:type="dxa"/>
            <w:tcBorders/>
          </w:tcPr>
          <w:p>
            <w:pPr>
              <w:pStyle w:val="Normal"/>
              <w:snapToGrid w:val="false"/>
              <w:ind w:start="-108" w:end="0"/>
              <w:jc w:val="center"/>
              <w:rPr>
                <w:b/>
                <w:sz w:val="36"/>
              </w:rPr>
            </w:pPr>
            <w:r>
              <w:rPr>
                <w:b/>
                <w:sz w:val="36"/>
              </w:rPr>
            </w:r>
          </w:p>
        </w:tc>
      </w:tr>
      <w:tr>
        <w:trPr/>
        <w:tc>
          <w:tcPr>
            <w:tcW w:w="9990" w:type="dxa"/>
            <w:tcBorders/>
          </w:tcPr>
          <w:p>
            <w:pPr>
              <w:pStyle w:val="Normal"/>
              <w:ind w:start="-108" w:end="0"/>
              <w:rPr/>
            </w:pPr>
            <w:r>
              <w:rPr>
                <w:i/>
              </w:rPr>
              <w:t>Source:</w:t>
            </w:r>
            <w:r>
              <w:rPr/>
              <w:t xml:space="preserve">  NERC Summer Transmission Assessment and FERC Form 715; 1996-1998</w:t>
            </w:r>
            <w:r>
              <w:rPr>
                <w:rStyle w:val="CommentReference"/>
                <w:rFonts w:cs="Arial" w:ascii="Arial" w:hAnsi="Arial"/>
                <w:vanish w:val="false"/>
              </w:rPr>
              <w:commentReference w:id="3"/>
            </w:r>
          </w:p>
        </w:tc>
      </w:tr>
    </w:tbl>
    <w:p>
      <w:pPr>
        <w:pStyle w:val="SecRN0"/>
        <w:rPr/>
      </w:pPr>
      <w:r>
        <w:br w:type="page"/>
      </w:r>
      <w:r>
        <w:rPr/>
        <w:t>III.</w:t>
        <w:tab/>
        <w:t>MID-AMERICA INTERCONNECTED NETWORK (“MAIN”)</w:t>
      </w:r>
    </w:p>
    <w:p>
      <w:pPr>
        <w:pStyle w:val="HdLet0"/>
        <w:rPr/>
      </w:pPr>
      <w:r>
        <w:rPr/>
        <w:t>A.</w:t>
        <w:tab/>
        <w:t xml:space="preserve">MAIN Regional Overview </w:t>
      </w:r>
    </w:p>
    <w:p>
      <w:pPr>
        <w:pStyle w:val="A0b"/>
        <w:numPr>
          <w:ilvl w:val="0"/>
          <w:numId w:val="6"/>
        </w:numPr>
        <w:spacing w:before="100" w:after="360"/>
        <w:ind w:hanging="0" w:start="0"/>
        <w:rPr/>
      </w:pPr>
      <w:r>
        <w:rPr/>
        <w:t>MAIN includes utility systems covering all of Illinois, the upper peninsula of Michigan, eastern Wisconsin and much of eastern Missouri, including St. Louis.  The MAIN region contains three planning sub-units: (1) Commonwealth Edison (“ComEd”), formerly operated as a single utility entity, however now with asset owners including Edison Mission Energy, Southern Company, and Dominion Resources; (2) Wisconsin Upper Michigan System (“WUMS”), which includes most of the large utilities in eastern Wisconsin and the upper peninsula of Michigan; and (3) Illinois-Missouri Pool (“ILMO”), including its largest member, Ameren.</w:t>
      </w:r>
    </w:p>
    <w:p>
      <w:pPr>
        <w:pStyle w:val="Hidden"/>
        <w:rPr/>
      </w:pPr>
      <w:r>
        <w:rPr/>
        <w:t>K:\adobe\tif_april\enron\....tif,gif,jpg</w:t>
      </w:r>
    </w:p>
    <w:tbl>
      <w:tblPr>
        <w:tblW w:w="8091" w:type="dxa"/>
        <w:jc w:val="start"/>
        <w:tblInd w:w="1701" w:type="dxa"/>
        <w:tblLayout w:type="fixed"/>
        <w:tblCellMar>
          <w:top w:w="0" w:type="dxa"/>
          <w:start w:w="108" w:type="dxa"/>
          <w:bottom w:w="0" w:type="dxa"/>
          <w:end w:w="108" w:type="dxa"/>
        </w:tblCellMar>
      </w:tblPr>
      <w:tblGrid>
        <w:gridCol w:w="8091"/>
      </w:tblGrid>
      <w:tr>
        <w:trPr>
          <w:trHeight w:val="6080" w:hRule="atLeast"/>
        </w:trPr>
        <w:tc>
          <w:tcPr>
            <w:tcW w:w="8091" w:type="dxa"/>
            <w:tcBorders>
              <w:top w:val="single" w:sz="4" w:space="0" w:color="000000"/>
              <w:start w:val="single" w:sz="4" w:space="0" w:color="000000"/>
              <w:bottom w:val="single" w:sz="4" w:space="0" w:color="000000"/>
              <w:end w:val="single" w:sz="4" w:space="0" w:color="000000"/>
            </w:tcBorders>
          </w:tcPr>
          <w:p>
            <w:pPr>
              <w:pStyle w:val="Normal"/>
              <w:ind w:start="-108" w:end="0"/>
              <w:rPr>
                <w:rFonts w:ascii="Arial Bold" w:hAnsi="Arial Bold" w:cs="Arial Bold"/>
              </w:rPr>
            </w:pPr>
            <w:bookmarkStart w:id="0" w:name="_1018780543"/>
            <w:bookmarkStart w:id="1" w:name="_1018780483"/>
            <w:bookmarkStart w:id="2" w:name="_1018711398"/>
            <w:bookmarkEnd w:id="0"/>
            <w:bookmarkEnd w:id="1"/>
            <w:bookmarkEnd w:id="2"/>
            <w:r>
              <w:rPr>
                <w:rFonts w:cs="Arial Bold" w:ascii="Arial Bold" w:hAnsi="Arial Bold"/>
                <w:b/>
              </w:rPr>
              <w:object w:dxaOrig="8080" w:dyaOrig="6141">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404.05pt;height:307.05pt" filled="f" o:ole="">
                  <v:imagedata r:id="rId5" o:title=""/>
                </v:shape>
                <o:OLEObject Type="Embed" ProgID="" ShapeID="ole_rId4" DrawAspect="Content" ObjectID="_900676724" r:id="rId4"/>
              </w:object>
            </w:r>
          </w:p>
        </w:tc>
      </w:tr>
    </w:tbl>
    <w:p>
      <w:pPr>
        <w:pStyle w:val="A0"/>
        <w:spacing w:before="0" w:after="0"/>
        <w:ind w:start="1627" w:end="0"/>
        <w:rPr>
          <w:sz w:val="24"/>
        </w:rPr>
      </w:pPr>
      <w:r>
        <w:rPr>
          <w:sz w:val="24"/>
        </w:rPr>
      </w:r>
    </w:p>
    <w:p>
      <w:pPr>
        <w:pStyle w:val="A0b"/>
        <w:numPr>
          <w:ilvl w:val="0"/>
          <w:numId w:val="6"/>
        </w:numPr>
        <w:spacing w:before="100" w:after="0"/>
        <w:ind w:hanging="0" w:start="0"/>
        <w:rPr/>
      </w:pPr>
      <w:r>
        <w:rPr/>
        <w:t>Relative to other U.S. regions, deregulation is moderately advanced in MAIN.  Illinois passed a comprehensive deregulation bill that provides for open access beginning in 1999. Asset divestitures have begun in MAIN.  Commonwealth Edison, the largest utility within MAIN, has recently sold off its remaining coal and oil/gas steam units to Edison Mission Energy after having sold its Kincaid and State Line coal units to Dominion Resources and Southern Company respectively.</w:t>
      </w:r>
    </w:p>
    <w:p>
      <w:pPr>
        <w:pStyle w:val="A0b"/>
        <w:numPr>
          <w:ilvl w:val="0"/>
          <w:numId w:val="6"/>
        </w:numPr>
        <w:spacing w:before="100" w:after="0"/>
        <w:ind w:hanging="0" w:start="0"/>
        <w:rPr/>
      </w:pPr>
      <w:r>
        <w:rPr/>
        <w:t>Wisconsin and Missouri are still considering legislation to deregulate the power industry. Retail access in Missouri is expected to begin by 2002.</w:t>
      </w:r>
    </w:p>
    <w:p>
      <w:pPr>
        <w:pStyle w:val="A0b"/>
        <w:numPr>
          <w:ilvl w:val="0"/>
          <w:numId w:val="6"/>
        </w:numPr>
        <w:spacing w:before="100" w:after="0"/>
        <w:ind w:hanging="0" w:start="0"/>
        <w:rPr/>
      </w:pPr>
      <w:r>
        <w:rPr/>
        <w:t>No new legislation was passed in 1999.  However, the markets continue to move towards unregulated activity.  For example, the merger of Dynegy and Illinova was complete as of February 2000 and Commonwealth Edison is in the process of merging with PECO.</w:t>
      </w:r>
    </w:p>
    <w:p>
      <w:pPr>
        <w:pStyle w:val="Sub0"/>
        <w:keepLines/>
        <w:spacing w:before="240" w:after="0"/>
        <w:rPr/>
      </w:pPr>
      <w:r>
        <w:rPr/>
        <w:t>MAIN Market Size – 2000</w:t>
      </w:r>
    </w:p>
    <w:tbl>
      <w:tblPr>
        <w:tblW w:w="6300" w:type="dxa"/>
        <w:jc w:val="start"/>
        <w:tblInd w:w="1440" w:type="dxa"/>
        <w:tblLayout w:type="fixed"/>
        <w:tblCellMar>
          <w:top w:w="0" w:type="dxa"/>
          <w:start w:w="0" w:type="dxa"/>
          <w:bottom w:w="0" w:type="dxa"/>
          <w:end w:w="0" w:type="dxa"/>
        </w:tblCellMar>
      </w:tblPr>
      <w:tblGrid>
        <w:gridCol w:w="3825"/>
        <w:gridCol w:w="2475"/>
      </w:tblGrid>
      <w:tr>
        <w:trPr/>
        <w:tc>
          <w:tcPr>
            <w:tcW w:w="3825"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c>
          <w:tcPr>
            <w:tcW w:w="2475"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r>
      <w:tr>
        <w:trPr/>
        <w:tc>
          <w:tcPr>
            <w:tcW w:w="3825" w:type="dxa"/>
            <w:tcBorders/>
          </w:tcPr>
          <w:p>
            <w:pPr>
              <w:pStyle w:val="T0"/>
              <w:keepNext w:val="true"/>
              <w:keepLines/>
              <w:spacing w:before="216" w:after="36"/>
              <w:rPr>
                <w:vertAlign w:val="superscript"/>
              </w:rPr>
            </w:pPr>
            <w:r>
              <w:rPr/>
              <w:t>Total Installed Capacity</w:t>
            </w:r>
          </w:p>
        </w:tc>
        <w:tc>
          <w:tcPr>
            <w:tcW w:w="2475" w:type="dxa"/>
            <w:tcBorders/>
          </w:tcPr>
          <w:p>
            <w:pPr>
              <w:pStyle w:val="Normal"/>
              <w:keepNext w:val="true"/>
              <w:keepLines/>
              <w:tabs>
                <w:tab w:val="clear" w:pos="720"/>
                <w:tab w:val="decimal" w:pos="1123" w:leader="none"/>
              </w:tabs>
              <w:spacing w:before="216" w:after="36"/>
              <w:ind w:start="45" w:end="0"/>
              <w:rPr/>
            </w:pPr>
            <w:r>
              <w:rPr/>
              <w:t>57 GW</w:t>
            </w:r>
          </w:p>
        </w:tc>
      </w:tr>
      <w:tr>
        <w:trPr/>
        <w:tc>
          <w:tcPr>
            <w:tcW w:w="3825" w:type="dxa"/>
            <w:tcBorders/>
          </w:tcPr>
          <w:p>
            <w:pPr>
              <w:pStyle w:val="Normal"/>
              <w:keepNext w:val="true"/>
              <w:keepLines/>
              <w:spacing w:before="36" w:after="36"/>
              <w:rPr>
                <w:vertAlign w:val="superscript"/>
              </w:rPr>
            </w:pPr>
            <w:r>
              <w:rPr/>
              <w:t>Peak Load</w:t>
            </w:r>
          </w:p>
        </w:tc>
        <w:tc>
          <w:tcPr>
            <w:tcW w:w="2475" w:type="dxa"/>
            <w:tcBorders/>
          </w:tcPr>
          <w:p>
            <w:pPr>
              <w:pStyle w:val="Normal"/>
              <w:keepNext w:val="true"/>
              <w:keepLines/>
              <w:tabs>
                <w:tab w:val="clear" w:pos="720"/>
                <w:tab w:val="decimal" w:pos="1125" w:leader="none"/>
              </w:tabs>
              <w:spacing w:before="36" w:after="36"/>
              <w:ind w:start="45" w:end="0"/>
              <w:rPr/>
            </w:pPr>
            <w:r>
              <w:rPr/>
              <w:t>46 GW</w:t>
            </w:r>
          </w:p>
        </w:tc>
      </w:tr>
      <w:tr>
        <w:trPr/>
        <w:tc>
          <w:tcPr>
            <w:tcW w:w="3825" w:type="dxa"/>
            <w:tcBorders/>
          </w:tcPr>
          <w:p>
            <w:pPr>
              <w:pStyle w:val="Normal"/>
              <w:keepNext w:val="true"/>
              <w:keepLines/>
              <w:spacing w:before="36" w:after="36"/>
              <w:rPr/>
            </w:pPr>
            <w:r>
              <w:rPr/>
              <w:t>Capacity Within One Wheel</w:t>
            </w:r>
          </w:p>
        </w:tc>
        <w:tc>
          <w:tcPr>
            <w:tcW w:w="2475" w:type="dxa"/>
            <w:tcBorders/>
          </w:tcPr>
          <w:p>
            <w:pPr>
              <w:pStyle w:val="Normal"/>
              <w:keepNext w:val="true"/>
              <w:keepLines/>
              <w:tabs>
                <w:tab w:val="clear" w:pos="720"/>
                <w:tab w:val="decimal" w:pos="1125" w:leader="none"/>
              </w:tabs>
              <w:spacing w:before="36" w:after="36"/>
              <w:ind w:start="45" w:end="0"/>
              <w:rPr/>
            </w:pPr>
            <w:r>
              <w:rPr/>
              <w:t>340 GW</w:t>
            </w:r>
          </w:p>
        </w:tc>
      </w:tr>
      <w:tr>
        <w:trPr/>
        <w:tc>
          <w:tcPr>
            <w:tcW w:w="3825" w:type="dxa"/>
            <w:tcBorders/>
          </w:tcPr>
          <w:p>
            <w:pPr>
              <w:pStyle w:val="Normal"/>
              <w:keepNext w:val="true"/>
              <w:keepLines/>
              <w:spacing w:before="36" w:after="36"/>
              <w:rPr/>
            </w:pPr>
            <w:r>
              <w:rPr/>
              <w:t>Import Capability</w:t>
            </w:r>
          </w:p>
        </w:tc>
        <w:tc>
          <w:tcPr>
            <w:tcW w:w="2475" w:type="dxa"/>
            <w:tcBorders/>
          </w:tcPr>
          <w:p>
            <w:pPr>
              <w:pStyle w:val="Normal"/>
              <w:keepNext w:val="true"/>
              <w:keepLines/>
              <w:tabs>
                <w:tab w:val="clear" w:pos="720"/>
                <w:tab w:val="decimal" w:pos="1125" w:leader="none"/>
              </w:tabs>
              <w:spacing w:before="36" w:after="36"/>
              <w:ind w:start="45" w:end="0"/>
              <w:rPr/>
            </w:pPr>
            <w:r>
              <w:rPr/>
              <w:t>8 GW</w:t>
            </w:r>
          </w:p>
        </w:tc>
      </w:tr>
      <w:tr>
        <w:trPr/>
        <w:tc>
          <w:tcPr>
            <w:tcW w:w="3825" w:type="dxa"/>
            <w:tcBorders/>
          </w:tcPr>
          <w:p>
            <w:pPr>
              <w:pStyle w:val="Normal"/>
              <w:keepNext w:val="true"/>
              <w:keepLines/>
              <w:spacing w:before="36" w:after="36"/>
              <w:rPr/>
            </w:pPr>
            <w:r>
              <w:rPr/>
              <w:t>Export Capability</w:t>
            </w:r>
          </w:p>
        </w:tc>
        <w:tc>
          <w:tcPr>
            <w:tcW w:w="2475" w:type="dxa"/>
            <w:tcBorders/>
          </w:tcPr>
          <w:p>
            <w:pPr>
              <w:pStyle w:val="Normal"/>
              <w:keepNext w:val="true"/>
              <w:keepLines/>
              <w:tabs>
                <w:tab w:val="clear" w:pos="720"/>
                <w:tab w:val="decimal" w:pos="1123" w:leader="none"/>
              </w:tabs>
              <w:spacing w:before="36" w:after="36"/>
              <w:ind w:start="45" w:end="0"/>
              <w:rPr/>
            </w:pPr>
            <w:r>
              <w:rPr/>
              <w:t>12 GW</w:t>
            </w:r>
          </w:p>
        </w:tc>
      </w:tr>
      <w:tr>
        <w:trPr/>
        <w:tc>
          <w:tcPr>
            <w:tcW w:w="3825" w:type="dxa"/>
            <w:tcBorders/>
          </w:tcPr>
          <w:p>
            <w:pPr>
              <w:pStyle w:val="Normal"/>
              <w:keepNext w:val="true"/>
              <w:keepLines/>
              <w:spacing w:before="36" w:after="36"/>
              <w:rPr/>
            </w:pPr>
            <w:r>
              <w:rPr/>
              <w:t>Net Annual Energy</w:t>
            </w:r>
          </w:p>
        </w:tc>
        <w:tc>
          <w:tcPr>
            <w:tcW w:w="2475" w:type="dxa"/>
            <w:tcBorders/>
          </w:tcPr>
          <w:p>
            <w:pPr>
              <w:pStyle w:val="Normal"/>
              <w:keepNext w:val="true"/>
              <w:keepLines/>
              <w:tabs>
                <w:tab w:val="clear" w:pos="720"/>
                <w:tab w:val="decimal" w:pos="1125" w:leader="none"/>
              </w:tabs>
              <w:spacing w:before="36" w:after="36"/>
              <w:ind w:start="45" w:end="0"/>
              <w:rPr/>
            </w:pPr>
            <w:r>
              <w:rPr/>
              <w:t>235,149 GWh</w:t>
            </w:r>
          </w:p>
        </w:tc>
      </w:tr>
      <w:tr>
        <w:trPr/>
        <w:tc>
          <w:tcPr>
            <w:tcW w:w="3825" w:type="dxa"/>
            <w:tcBorders/>
          </w:tcPr>
          <w:p>
            <w:pPr>
              <w:pStyle w:val="Normal"/>
              <w:keepNext w:val="true"/>
              <w:keepLines/>
              <w:spacing w:before="36" w:after="36"/>
              <w:rPr/>
            </w:pPr>
            <w:r>
              <w:rPr/>
              <w:t>Average Demand</w:t>
            </w:r>
          </w:p>
        </w:tc>
        <w:tc>
          <w:tcPr>
            <w:tcW w:w="2475" w:type="dxa"/>
            <w:tcBorders/>
          </w:tcPr>
          <w:p>
            <w:pPr>
              <w:pStyle w:val="Normal"/>
              <w:keepNext w:val="true"/>
              <w:keepLines/>
              <w:tabs>
                <w:tab w:val="clear" w:pos="720"/>
                <w:tab w:val="decimal" w:pos="1125" w:leader="none"/>
              </w:tabs>
              <w:spacing w:before="36" w:after="36"/>
              <w:ind w:start="45" w:end="0"/>
              <w:rPr/>
            </w:pPr>
            <w:r>
              <w:rPr/>
              <w:t>27 GW</w:t>
            </w:r>
          </w:p>
        </w:tc>
      </w:tr>
      <w:tr>
        <w:trPr/>
        <w:tc>
          <w:tcPr>
            <w:tcW w:w="3825" w:type="dxa"/>
            <w:tcBorders>
              <w:bottom w:val="single" w:sz="6" w:space="0" w:color="000000"/>
            </w:tcBorders>
          </w:tcPr>
          <w:p>
            <w:pPr>
              <w:pStyle w:val="Normal"/>
              <w:keepNext w:val="true"/>
              <w:keepLines/>
              <w:spacing w:before="36" w:after="216"/>
              <w:rPr/>
            </w:pPr>
            <w:r>
              <w:rPr/>
              <w:t>Net Exports</w:t>
            </w:r>
          </w:p>
        </w:tc>
        <w:tc>
          <w:tcPr>
            <w:tcW w:w="2475" w:type="dxa"/>
            <w:tcBorders>
              <w:bottom w:val="single" w:sz="6" w:space="0" w:color="000000"/>
            </w:tcBorders>
          </w:tcPr>
          <w:p>
            <w:pPr>
              <w:pStyle w:val="Normal"/>
              <w:keepNext w:val="true"/>
              <w:keepLines/>
              <w:tabs>
                <w:tab w:val="clear" w:pos="720"/>
                <w:tab w:val="decimal" w:pos="1125" w:leader="none"/>
              </w:tabs>
              <w:spacing w:before="36" w:after="216"/>
              <w:ind w:start="45" w:end="0"/>
              <w:rPr/>
            </w:pPr>
            <w:r>
              <w:rPr/>
              <w:t>8,671GWh</w:t>
            </w:r>
          </w:p>
        </w:tc>
      </w:tr>
    </w:tbl>
    <w:p>
      <w:pPr>
        <w:pStyle w:val="Normal"/>
        <w:ind w:start="1440" w:end="0"/>
        <w:rPr/>
      </w:pPr>
      <w:r>
        <w:rPr/>
        <w:t>Source: ICF Base Case Forecasts for the year 2000.</w:t>
      </w:r>
    </w:p>
    <w:p>
      <w:pPr>
        <w:pStyle w:val="Normal"/>
        <w:ind w:start="1440" w:end="0"/>
        <w:rPr/>
      </w:pPr>
      <w:r>
        <w:rPr/>
      </w:r>
    </w:p>
    <w:p>
      <w:pPr>
        <w:pStyle w:val="HdLet0"/>
        <w:rPr/>
      </w:pPr>
      <w:r>
        <w:rPr/>
        <w:t>B.</w:t>
        <w:tab/>
        <w:t xml:space="preserve">MAIN Capacity Mix </w:t>
      </w:r>
    </w:p>
    <w:p>
      <w:pPr>
        <w:pStyle w:val="A0"/>
        <w:rPr/>
      </w:pPr>
      <w:r>
        <w:rPr/>
        <w:t>MAIN is dominated by coal and nuclear generating capacity.  Combined, these units accounted for 81% total capacity and 96% of generation in MAIN in 1997. Generation totals beyond 1997 are not available from NERC.</w:t>
      </w:r>
    </w:p>
    <w:p>
      <w:pPr>
        <w:pStyle w:val="A0b"/>
        <w:numPr>
          <w:ilvl w:val="0"/>
          <w:numId w:val="6"/>
        </w:numPr>
        <w:ind w:hanging="0" w:start="0"/>
        <w:rPr/>
      </w:pPr>
      <w:r>
        <w:rPr/>
        <w:t>The large nuclear concentration creates supply uncertainty especially in the near term.  In the summer of 1998, MAIN experienced extreme capacity shortages in part due to a widespread shortfall in nuclear availability.  However, the need for capacity in MAIN extends beyond the reliability of the nuclear units.  Even with the return of nuclear capacity, shortages continued in the summer of 1999:</w:t>
      </w:r>
    </w:p>
    <w:p>
      <w:pPr>
        <w:pStyle w:val="B0n"/>
        <w:numPr>
          <w:ilvl w:val="0"/>
          <w:numId w:val="8"/>
        </w:numPr>
        <w:rPr/>
      </w:pPr>
      <w:r>
        <w:rPr/>
        <w:t>Commonwealth Edison has one of the largest concentrations of nuclear capacity in the U.S. and experienced significant nuclear availability problems in 1998.  Units 1 and 2 of the 2,000 MW La Salle plant were off-line during the summer.  The Quad Cities plant was down for much of the year and was on the “watch list” of the U.S. Nuclear Regulatory Commission.  In 1997, ComEd announced permanent retirement plans for its 2,080 MW Zion nuclear plant.  The 1999 nuclear situation returned to more normal conditions, with LaSalle and Clinton at full availability.</w:t>
      </w:r>
    </w:p>
    <w:p>
      <w:pPr>
        <w:pStyle w:val="B0n"/>
        <w:numPr>
          <w:ilvl w:val="0"/>
          <w:numId w:val="8"/>
        </w:numPr>
        <w:rPr/>
      </w:pPr>
      <w:r>
        <w:rPr/>
        <w:t>Illinois Power Company’s Clinton nuclear plant was off-line starting September 6, 1996.  On December 15, 1999, Amergen Energy Company and Illinois Power Company completed a transaction for the sale of the Clinton Power Station to Amergen.  The plant is now back on-line.</w:t>
      </w:r>
    </w:p>
    <w:p>
      <w:pPr>
        <w:pStyle w:val="B0n"/>
        <w:numPr>
          <w:ilvl w:val="0"/>
          <w:numId w:val="2"/>
        </w:numPr>
        <w:tabs>
          <w:tab w:val="clear" w:pos="720"/>
          <w:tab w:val="left" w:pos="2520" w:leader="none"/>
        </w:tabs>
        <w:ind w:hanging="360" w:start="2520" w:end="0"/>
        <w:rPr/>
      </w:pPr>
      <w:r>
        <w:rPr/>
        <w:t>The Illinois Basin, covering Southern Illinois, western Kentucky and Indiana, has historically been a major source of coal.  As a consequence, numerous coal plants were built in MAIN and surrounding areas.  Because this coal is generally of high-sulfur content, low-sulfur Wyoming Powder River Basin coal has penetrated the market and currently accounts for more than half of the coal utilized in Illinois.</w:t>
      </w:r>
    </w:p>
    <w:p>
      <w:pPr>
        <w:pStyle w:val="T0"/>
        <w:spacing w:before="0" w:after="0"/>
        <w:rPr>
          <w:sz w:val="2"/>
        </w:rPr>
      </w:pPr>
      <w:r>
        <w:rPr>
          <w:sz w:val="2"/>
        </w:rPr>
      </w:r>
      <w:r>
        <w:br w:type="page"/>
      </w:r>
    </w:p>
    <w:p>
      <w:pPr>
        <w:pStyle w:val="Sub0"/>
        <w:spacing w:before="0" w:after="120"/>
        <w:ind w:start="360" w:end="0"/>
        <w:rPr/>
      </w:pPr>
      <w:r>
        <w:rPr/>
        <w:t xml:space="preserve">MAIN Capacity and Generation Mix – 2000 </w:t>
      </w:r>
    </w:p>
    <w:tbl>
      <w:tblPr>
        <w:tblW w:w="9347" w:type="dxa"/>
        <w:jc w:val="center"/>
        <w:tblInd w:w="0" w:type="dxa"/>
        <w:tblLayout w:type="fixed"/>
        <w:tblCellMar>
          <w:top w:w="0" w:type="dxa"/>
          <w:start w:w="108" w:type="dxa"/>
          <w:bottom w:w="0" w:type="dxa"/>
          <w:end w:w="108" w:type="dxa"/>
        </w:tblCellMar>
      </w:tblPr>
      <w:tblGrid>
        <w:gridCol w:w="4536"/>
        <w:gridCol w:w="281"/>
        <w:gridCol w:w="4530"/>
      </w:tblGrid>
      <w:tr>
        <w:trPr/>
        <w:tc>
          <w:tcPr>
            <w:tcW w:w="4536"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rFonts w:ascii="Arial Bold" w:hAnsi="Arial Bold" w:cs="Arial Bold"/>
                <w:b/>
                <w:color w:val="FFFFFF"/>
                <w:sz w:val="24"/>
              </w:rPr>
            </w:pPr>
            <w:r>
              <w:rPr>
                <w:rFonts w:cs="Arial Bold" w:ascii="Arial Bold" w:hAnsi="Arial Bold"/>
                <w:b/>
                <w:color w:val="FFFFFF"/>
                <w:sz w:val="24"/>
              </w:rPr>
              <w:t>CAPACITY</w:t>
            </w:r>
          </w:p>
        </w:tc>
        <w:tc>
          <w:tcPr>
            <w:tcW w:w="281" w:type="dxa"/>
            <w:tcBorders/>
          </w:tcPr>
          <w:p>
            <w:pPr>
              <w:pStyle w:val="Normal"/>
              <w:snapToGrid w:val="false"/>
              <w:spacing w:before="120" w:after="120"/>
              <w:jc w:val="center"/>
              <w:rPr>
                <w:rFonts w:ascii="Arial Bold" w:hAnsi="Arial Bold" w:cs="Arial Bold"/>
                <w:b/>
                <w:color w:val="FFFFFF"/>
                <w:sz w:val="24"/>
              </w:rPr>
            </w:pPr>
            <w:r>
              <w:rPr>
                <w:rFonts w:cs="Arial Bold" w:ascii="Arial Bold" w:hAnsi="Arial Bold"/>
                <w:b/>
                <w:color w:val="FFFFFF"/>
                <w:sz w:val="24"/>
              </w:rPr>
            </w:r>
          </w:p>
        </w:tc>
        <w:tc>
          <w:tcPr>
            <w:tcW w:w="4530"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pPr>
            <w:r>
              <w:rPr/>
              <w:t>GENERATION</w:t>
            </w:r>
          </w:p>
        </w:tc>
      </w:tr>
      <w:tr>
        <w:trPr/>
        <w:tc>
          <w:tcPr>
            <w:tcW w:w="4536" w:type="dxa"/>
            <w:tcBorders>
              <w:start w:val="single" w:sz="6" w:space="0" w:color="000000"/>
              <w:end w:val="single" w:sz="6" w:space="0" w:color="000000"/>
            </w:tcBorders>
          </w:tcPr>
          <w:p>
            <w:pPr>
              <w:pStyle w:val="Normal"/>
              <w:keepNext w:val="true"/>
              <w:rPr/>
            </w:pPr>
            <w:r>
              <w:rPr>
                <w:sz w:val="28"/>
              </w:rPr>
              <w:drawing>
                <wp:inline distT="0" distB="0" distL="0" distR="0">
                  <wp:extent cx="2744470" cy="2175510"/>
                  <wp:effectExtent l="0" t="0" r="0" b="0"/>
                  <wp:docPr id="9"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title=""/>
                          <pic:cNvPicPr>
                            <a:picLocks noChangeAspect="1" noChangeArrowheads="1"/>
                          </pic:cNvPicPr>
                        </pic:nvPicPr>
                        <pic:blipFill>
                          <a:blip r:embed="rId6"/>
                          <a:srcRect l="-6" t="-11" r="-6" b="-11"/>
                          <a:stretch>
                            <a:fillRect/>
                          </a:stretch>
                        </pic:blipFill>
                        <pic:spPr bwMode="auto">
                          <a:xfrm>
                            <a:off x="0" y="0"/>
                            <a:ext cx="2744470" cy="2175510"/>
                          </a:xfrm>
                          <a:prstGeom prst="rect">
                            <a:avLst/>
                          </a:prstGeom>
                          <a:noFill/>
                        </pic:spPr>
                      </pic:pic>
                    </a:graphicData>
                  </a:graphic>
                </wp:inline>
              </w:drawing>
            </w:r>
            <w:hyperlink r:id="rId7">
              <w:commentRangeStart w:id="4"/>
              <w:commentRangeEnd w:id="4"/>
              <w:r>
                <w:commentReference w:id="4"/>
              </w:r>
              <w:r>
                <w:rPr>
                  <w:rStyle w:val="Hyperlink"/>
                  <w:vanish/>
                  <w:sz w:val="28"/>
                </w:rPr>
                <w:t>\\snyc14207\ProjFin\yellen\990920095.xls!MAIN Capacity</w:t>
              </w:r>
            </w:hyperlink>
            <w:r>
              <w:rPr>
                <w:vanish/>
                <w:color w:val="FF0000"/>
                <w:sz w:val="28"/>
              </w:rPr>
              <w:t xml:space="preserve"> Height: 2.58” Width: 3.26”</w:t>
            </w:r>
          </w:p>
          <w:p>
            <w:pPr>
              <w:pStyle w:val="Normal"/>
              <w:rPr>
                <w:sz w:val="28"/>
              </w:rPr>
            </w:pPr>
            <w:commentRangeStart w:id="6"/>
            <w:commentRangeEnd w:id="6"/>
            <w:r>
              <w:commentReference w:id="6"/>
            </w:r>
            <w:r>
              <w:rPr>
                <w:rStyle w:val="CommentReference"/>
                <w:vanish w:val="false"/>
                <w:sz w:val="28"/>
              </w:rPr>
              <w:commentReference w:id="5"/>
            </w:r>
          </w:p>
        </w:tc>
        <w:tc>
          <w:tcPr>
            <w:tcW w:w="281" w:type="dxa"/>
            <w:tcBorders/>
          </w:tcPr>
          <w:p>
            <w:pPr>
              <w:pStyle w:val="Hidden"/>
              <w:snapToGrid w:val="false"/>
              <w:jc w:val="center"/>
              <w:rPr>
                <w:vanish w:val="false"/>
                <w:sz w:val="28"/>
              </w:rPr>
            </w:pPr>
            <w:r>
              <w:rPr>
                <w:vanish w:val="false"/>
                <w:sz w:val="28"/>
              </w:rPr>
            </w:r>
          </w:p>
        </w:tc>
        <w:tc>
          <w:tcPr>
            <w:tcW w:w="4530" w:type="dxa"/>
            <w:tcBorders>
              <w:start w:val="single" w:sz="6" w:space="0" w:color="000000"/>
              <w:end w:val="single" w:sz="6" w:space="0" w:color="000000"/>
            </w:tcBorders>
          </w:tcPr>
          <w:p>
            <w:pPr>
              <w:pStyle w:val="Normal"/>
              <w:keepNext w:val="true"/>
              <w:rPr/>
            </w:pPr>
            <w:r>
              <w:rPr>
                <w:sz w:val="16"/>
              </w:rPr>
              <w:drawing>
                <wp:inline distT="0" distB="0" distL="0" distR="0">
                  <wp:extent cx="2743835" cy="2264410"/>
                  <wp:effectExtent l="0" t="0" r="0" b="0"/>
                  <wp:docPr id="10"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title=""/>
                          <pic:cNvPicPr>
                            <a:picLocks noChangeAspect="1" noChangeArrowheads="1"/>
                          </pic:cNvPicPr>
                        </pic:nvPicPr>
                        <pic:blipFill>
                          <a:blip r:embed="rId8"/>
                          <a:srcRect l="-6" t="-9" r="-6" b="-9"/>
                          <a:stretch>
                            <a:fillRect/>
                          </a:stretch>
                        </pic:blipFill>
                        <pic:spPr bwMode="auto">
                          <a:xfrm>
                            <a:off x="0" y="0"/>
                            <a:ext cx="2743835" cy="2264410"/>
                          </a:xfrm>
                          <a:prstGeom prst="rect">
                            <a:avLst/>
                          </a:prstGeom>
                          <a:noFill/>
                        </pic:spPr>
                      </pic:pic>
                    </a:graphicData>
                  </a:graphic>
                </wp:inline>
              </w:drawing>
            </w:r>
            <w:hyperlink r:id="rId9">
              <w:commentRangeStart w:id="7"/>
              <w:commentRangeEnd w:id="7"/>
              <w:r>
                <w:commentReference w:id="7"/>
              </w:r>
              <w:r>
                <w:rPr>
                  <w:rStyle w:val="Hyperlink"/>
                  <w:vanish/>
                  <w:sz w:val="16"/>
                </w:rPr>
                <w:t>\\snyc14207\ProjFin\yellen\990920095.xls!MAIN Generation</w:t>
              </w:r>
            </w:hyperlink>
            <w:r>
              <w:rPr>
                <w:vanish/>
                <w:color w:val="FF0000"/>
                <w:sz w:val="16"/>
              </w:rPr>
              <w:t xml:space="preserve"> Height: 2.58” Width: 3.26”</w:t>
            </w:r>
          </w:p>
          <w:p>
            <w:pPr>
              <w:pStyle w:val="Normal"/>
              <w:rPr/>
            </w:pPr>
            <w:commentRangeStart w:id="9"/>
            <w:commentRangeEnd w:id="9"/>
            <w:r>
              <w:commentReference w:id="9"/>
            </w:r>
            <w:r>
              <w:rPr>
                <w:rStyle w:val="CommentReference"/>
                <w:vanish w:val="false"/>
              </w:rPr>
              <w:commentReference w:id="8"/>
            </w:r>
          </w:p>
        </w:tc>
      </w:tr>
      <w:tr>
        <w:trPr/>
        <w:tc>
          <w:tcPr>
            <w:tcW w:w="4536" w:type="dxa"/>
            <w:tcBorders>
              <w:top w:val="single" w:sz="6" w:space="0" w:color="000000"/>
            </w:tcBorders>
          </w:tcPr>
          <w:p>
            <w:pPr>
              <w:pStyle w:val="T0"/>
              <w:spacing w:before="60" w:after="0"/>
              <w:jc w:val="center"/>
              <w:rPr>
                <w:b/>
              </w:rPr>
            </w:pPr>
            <w:r>
              <w:rPr>
                <w:b/>
              </w:rPr>
              <w:t>Total Capacity = 56 GW</w:t>
            </w:r>
          </w:p>
        </w:tc>
        <w:tc>
          <w:tcPr>
            <w:tcW w:w="281" w:type="dxa"/>
            <w:tcBorders/>
          </w:tcPr>
          <w:p>
            <w:pPr>
              <w:pStyle w:val="Heading2"/>
              <w:snapToGrid w:val="false"/>
              <w:spacing w:before="60" w:after="0"/>
              <w:ind w:hanging="0" w:start="0"/>
              <w:rPr>
                <w:b/>
              </w:rPr>
            </w:pPr>
            <w:r>
              <w:rPr>
                <w:b/>
              </w:rPr>
            </w:r>
          </w:p>
        </w:tc>
        <w:tc>
          <w:tcPr>
            <w:tcW w:w="4530" w:type="dxa"/>
            <w:tcBorders>
              <w:top w:val="single" w:sz="6" w:space="0" w:color="000000"/>
            </w:tcBorders>
          </w:tcPr>
          <w:p>
            <w:pPr>
              <w:pStyle w:val="Heading2"/>
              <w:spacing w:before="60" w:after="0"/>
              <w:ind w:hanging="0" w:start="0"/>
              <w:rPr/>
            </w:pPr>
            <w:r>
              <w:rPr/>
              <w:t>Total Generation = 244 BkWh</w:t>
            </w:r>
          </w:p>
        </w:tc>
      </w:tr>
    </w:tbl>
    <w:p>
      <w:pPr>
        <w:pStyle w:val="Normal"/>
        <w:ind w:start="360" w:end="0"/>
        <w:rPr/>
      </w:pPr>
      <w:r>
        <w:rPr>
          <w:i/>
          <w:sz w:val="16"/>
        </w:rPr>
        <w:t xml:space="preserve">Note:  </w:t>
      </w:r>
      <w:r>
        <w:rPr>
          <w:sz w:val="16"/>
        </w:rPr>
        <w:t>Totals may not add due to rounding.</w:t>
      </w:r>
    </w:p>
    <w:p>
      <w:pPr>
        <w:pStyle w:val="Normal"/>
        <w:ind w:start="360" w:end="0"/>
        <w:rPr/>
      </w:pPr>
      <w:r>
        <w:rPr>
          <w:i/>
          <w:sz w:val="16"/>
        </w:rPr>
        <w:t xml:space="preserve">Source:  </w:t>
      </w:r>
      <w:r>
        <w:rPr>
          <w:sz w:val="16"/>
        </w:rPr>
        <w:t>ICF Base Case Forecasts for the year 2000.</w:t>
      </w:r>
    </w:p>
    <w:p>
      <w:pPr>
        <w:pStyle w:val="Normal"/>
        <w:spacing w:before="20" w:after="0"/>
        <w:ind w:start="360" w:end="0"/>
        <w:rPr>
          <w:sz w:val="16"/>
        </w:rPr>
      </w:pPr>
      <w:r>
        <w:rPr>
          <w:sz w:val="16"/>
        </w:rPr>
      </w:r>
    </w:p>
    <w:p>
      <w:pPr>
        <w:pStyle w:val="HdLet0"/>
        <w:rPr/>
      </w:pPr>
      <w:r>
        <w:rPr/>
        <w:t>C.</w:t>
        <w:tab/>
        <w:t>MAIN Transmission Overview</w:t>
      </w:r>
    </w:p>
    <w:p>
      <w:pPr>
        <w:pStyle w:val="A0"/>
        <w:keepNext w:val="true"/>
        <w:rPr>
          <w:b/>
        </w:rPr>
      </w:pPr>
      <w:r>
        <w:rPr>
          <w:b/>
        </w:rPr>
        <w:t>Inter-Regional Transmission</w:t>
      </w:r>
    </w:p>
    <w:p>
      <w:pPr>
        <w:pStyle w:val="A0b"/>
        <w:numPr>
          <w:ilvl w:val="0"/>
          <w:numId w:val="6"/>
        </w:numPr>
        <w:ind w:hanging="0" w:start="0"/>
        <w:rPr/>
      </w:pPr>
      <w:r>
        <w:rPr/>
        <w:t>The MAIN Region is highly interconnected with neighboring regions, providing significant opportunities for trading between MAIN and surrounding regions.</w:t>
      </w:r>
    </w:p>
    <w:p>
      <w:pPr>
        <w:pStyle w:val="A0b"/>
        <w:numPr>
          <w:ilvl w:val="0"/>
          <w:numId w:val="6"/>
        </w:numPr>
        <w:ind w:hanging="0" w:start="0"/>
        <w:rPr/>
      </w:pPr>
      <w:r>
        <w:rPr/>
        <w:t>The primary physical interconnections between MAIN and its neighboring systems consist of:</w:t>
      </w:r>
    </w:p>
    <w:p>
      <w:pPr>
        <w:pStyle w:val="B0bbox"/>
        <w:numPr>
          <w:ilvl w:val="0"/>
          <w:numId w:val="9"/>
        </w:numPr>
        <w:rPr/>
      </w:pPr>
      <w:r>
        <w:rPr/>
        <w:t>Two 765 kV and four 345 kV connections and several sub-stations connecting the Chicago metropolitan portion of Illinois to the adjacent northwest portion of Indiana in ECAR.</w:t>
      </w:r>
    </w:p>
    <w:p>
      <w:pPr>
        <w:pStyle w:val="B0bbox"/>
        <w:numPr>
          <w:ilvl w:val="0"/>
          <w:numId w:val="9"/>
        </w:numPr>
        <w:rPr/>
      </w:pPr>
      <w:r>
        <w:rPr/>
        <w:t>Four 345 kV connections into MAPP, only one of which is in the capacity-constrained upper Midwest region.</w:t>
      </w:r>
    </w:p>
    <w:p>
      <w:pPr>
        <w:pStyle w:val="B0bbox"/>
        <w:numPr>
          <w:ilvl w:val="0"/>
          <w:numId w:val="9"/>
        </w:numPr>
        <w:rPr/>
      </w:pPr>
      <w:r>
        <w:rPr/>
        <w:t>One 500 kV and two 345 kV ties connecting the MAIN portion of Missouri into Kansas and Arkansas in SPP</w:t>
      </w:r>
      <w:r>
        <w:rPr>
          <w:rStyle w:val="CommentReference"/>
          <w:vanish w:val="false"/>
        </w:rPr>
        <w:commentReference w:id="10"/>
      </w:r>
      <w:r>
        <w:rPr/>
        <w:t>.</w:t>
      </w:r>
    </w:p>
    <w:p>
      <w:pPr>
        <w:pStyle w:val="A0"/>
        <w:keepNext w:val="true"/>
        <w:rPr>
          <w:b/>
        </w:rPr>
      </w:pPr>
      <w:r>
        <w:rPr>
          <w:b/>
        </w:rPr>
        <w:t>Intra-Regional Transmission</w:t>
      </w:r>
    </w:p>
    <w:p>
      <w:pPr>
        <w:pStyle w:val="A0"/>
        <w:keepNext w:val="true"/>
        <w:rPr/>
      </w:pPr>
      <w:r>
        <w:rPr/>
        <w:t>The map below shows the major interconnections within MAIN.</w:t>
      </w:r>
    </w:p>
    <w:p>
      <w:pPr>
        <w:pStyle w:val="A0"/>
        <w:keepNext w:val="true"/>
        <w:rPr>
          <w:rFonts w:ascii="Arial Bold" w:hAnsi="Arial Bold" w:cs="Arial Bold"/>
          <w:b/>
          <w:vanish/>
          <w:color w:val="FF0000"/>
          <w:sz w:val="18"/>
        </w:rPr>
      </w:pPr>
      <w:r>
        <w:rPr>
          <w:rFonts w:cs="Arial Bold" w:ascii="Arial Bold" w:hAnsi="Arial Bold"/>
          <w:b/>
          <w:vanish/>
          <w:color w:val="FF0000"/>
          <w:sz w:val="18"/>
        </w:rPr>
        <w:t>K:\Adobe\tif-April\scanmap1.tif</w:t>
      </w:r>
    </w:p>
    <w:p>
      <w:pPr>
        <w:pStyle w:val="Normal"/>
        <w:jc w:val="center"/>
        <w:rPr/>
      </w:pPr>
      <w:r>
        <w:rPr/>
        <w:drawing>
          <wp:inline distT="0" distB="0" distL="0" distR="0">
            <wp:extent cx="3657600" cy="3696335"/>
            <wp:effectExtent l="0" t="0" r="0" b="0"/>
            <wp:docPr id="11" name="scanmap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map1" descr="" title=""/>
                    <pic:cNvPicPr>
                      <a:picLocks noChangeAspect="1" noChangeArrowheads="1"/>
                    </pic:cNvPicPr>
                  </pic:nvPicPr>
                  <pic:blipFill>
                    <a:blip r:embed="rId10"/>
                    <a:srcRect l="-10" t="503" r="-10" b="-10"/>
                    <a:stretch>
                      <a:fillRect/>
                    </a:stretch>
                  </pic:blipFill>
                  <pic:spPr bwMode="auto">
                    <a:xfrm>
                      <a:off x="0" y="0"/>
                      <a:ext cx="3657600" cy="3696335"/>
                    </a:xfrm>
                    <a:prstGeom prst="rect">
                      <a:avLst/>
                    </a:prstGeom>
                    <a:noFill/>
                  </pic:spPr>
                </pic:pic>
              </a:graphicData>
            </a:graphic>
          </wp:inline>
        </w:drawing>
      </w:r>
    </w:p>
    <w:p>
      <w:pPr>
        <w:pStyle w:val="A0"/>
        <w:spacing w:before="0" w:after="0"/>
        <w:rPr/>
      </w:pPr>
      <w:r>
        <w:rPr/>
        <w:t>Within MAIN, transmission constraints exist going into the WUMS region.</w:t>
      </w:r>
    </w:p>
    <w:p>
      <w:pPr>
        <w:pStyle w:val="HdLet0"/>
        <w:rPr/>
      </w:pPr>
      <w:r>
        <w:rPr/>
        <w:t>D.</w:t>
        <w:tab/>
        <w:t xml:space="preserve">MAIN Historical Prices </w:t>
      </w:r>
    </w:p>
    <w:p>
      <w:pPr>
        <w:pStyle w:val="A0b"/>
        <w:numPr>
          <w:ilvl w:val="0"/>
          <w:numId w:val="6"/>
        </w:numPr>
        <w:ind w:hanging="0" w:start="0"/>
        <w:rPr/>
      </w:pPr>
      <w:r>
        <w:rPr/>
        <w:t>Energy prices in MAIN have historically been among the lowest in the country due to an abundance of low variable cost resources, namely nuclear and coal.</w:t>
      </w:r>
    </w:p>
    <w:p>
      <w:pPr>
        <w:pStyle w:val="A0b"/>
        <w:numPr>
          <w:ilvl w:val="0"/>
          <w:numId w:val="6"/>
        </w:numPr>
        <w:ind w:hanging="0" w:start="0"/>
        <w:rPr/>
      </w:pPr>
      <w:r>
        <w:rPr/>
        <w:t>The amount of low variable cost baseload capacity has been sufficient to serve load in MAIN during most hours of the year.</w:t>
      </w:r>
    </w:p>
    <w:p>
      <w:pPr>
        <w:pStyle w:val="B0bbox"/>
        <w:numPr>
          <w:ilvl w:val="0"/>
          <w:numId w:val="9"/>
        </w:numPr>
        <w:rPr/>
      </w:pPr>
      <w:r>
        <w:rPr/>
        <w:t>As a result, the marginal source of electrical energy has typically been coal fired power plants on-peak and occasionally nuclear plants during very deep off-peak hours.</w:t>
      </w:r>
    </w:p>
    <w:p>
      <w:pPr>
        <w:pStyle w:val="B0bbox"/>
        <w:numPr>
          <w:ilvl w:val="0"/>
          <w:numId w:val="0"/>
        </w:numPr>
        <w:ind w:hanging="360" w:start="2880" w:end="0"/>
        <w:rPr/>
      </w:pPr>
      <w:r>
        <w:rPr/>
      </w:r>
    </w:p>
    <w:p>
      <w:pPr>
        <w:pStyle w:val="B0bbox"/>
        <w:numPr>
          <w:ilvl w:val="0"/>
          <w:numId w:val="0"/>
        </w:numPr>
        <w:ind w:hanging="360" w:start="2880" w:end="0"/>
        <w:rPr/>
      </w:pPr>
      <w:r>
        <w:rPr/>
      </w:r>
    </w:p>
    <w:p>
      <w:pPr>
        <w:pStyle w:val="B0bbox"/>
        <w:numPr>
          <w:ilvl w:val="0"/>
          <w:numId w:val="0"/>
        </w:numPr>
        <w:ind w:hanging="360" w:start="2880" w:end="0"/>
        <w:rPr/>
      </w:pPr>
      <w:r>
        <w:rPr/>
      </w:r>
    </w:p>
    <w:p>
      <w:pPr>
        <w:pStyle w:val="B0bbox"/>
        <w:numPr>
          <w:ilvl w:val="0"/>
          <w:numId w:val="0"/>
        </w:numPr>
        <w:ind w:hanging="360" w:start="2880" w:end="0"/>
        <w:rPr/>
      </w:pPr>
      <w:r>
        <w:rPr/>
      </w:r>
    </w:p>
    <w:p>
      <w:pPr>
        <w:pStyle w:val="B0bbox"/>
        <w:numPr>
          <w:ilvl w:val="0"/>
          <w:numId w:val="0"/>
        </w:numPr>
        <w:ind w:hanging="360" w:start="2880" w:end="0"/>
        <w:rPr/>
      </w:pPr>
      <w:r>
        <w:rPr/>
      </w:r>
    </w:p>
    <w:p>
      <w:pPr>
        <w:pStyle w:val="B0bbox"/>
        <w:numPr>
          <w:ilvl w:val="0"/>
          <w:numId w:val="0"/>
        </w:numPr>
        <w:ind w:hanging="360" w:start="2880" w:end="0"/>
        <w:rPr/>
      </w:pPr>
      <w:r>
        <w:rPr/>
      </w:r>
    </w:p>
    <w:p>
      <w:pPr>
        <w:pStyle w:val="B0bbox"/>
        <w:numPr>
          <w:ilvl w:val="0"/>
          <w:numId w:val="0"/>
        </w:numPr>
        <w:ind w:hanging="360" w:start="2880" w:end="0"/>
        <w:rPr/>
      </w:pPr>
      <w:r>
        <w:rPr/>
      </w:r>
    </w:p>
    <w:tbl>
      <w:tblPr>
        <w:tblW w:w="6930" w:type="dxa"/>
        <w:jc w:val="start"/>
        <w:tblInd w:w="540" w:type="dxa"/>
        <w:tblLayout w:type="fixed"/>
        <w:tblCellMar>
          <w:top w:w="0" w:type="dxa"/>
          <w:start w:w="0" w:type="dxa"/>
          <w:bottom w:w="0" w:type="dxa"/>
          <w:end w:w="0" w:type="dxa"/>
        </w:tblCellMar>
      </w:tblPr>
      <w:tblGrid>
        <w:gridCol w:w="2520"/>
        <w:gridCol w:w="990"/>
        <w:gridCol w:w="1350"/>
        <w:gridCol w:w="1080"/>
        <w:gridCol w:w="990"/>
      </w:tblGrid>
      <w:tr>
        <w:trPr>
          <w:trHeight w:val="55" w:hRule="atLeast"/>
        </w:trPr>
        <w:tc>
          <w:tcPr>
            <w:tcW w:w="6930" w:type="dxa"/>
            <w:gridSpan w:val="5"/>
            <w:tcBorders>
              <w:top w:val="single" w:sz="18" w:space="0" w:color="000000"/>
            </w:tcBorders>
          </w:tcPr>
          <w:p>
            <w:pPr>
              <w:pStyle w:val="Normal"/>
              <w:spacing w:before="36" w:after="36"/>
              <w:rPr>
                <w:rFonts w:ascii="Arial" w:hAnsi="Arial" w:cs="Arial"/>
                <w:b/>
                <w:sz w:val="28"/>
              </w:rPr>
            </w:pPr>
            <w:r>
              <w:rPr>
                <w:rFonts w:cs="Arial" w:ascii="Arial" w:hAnsi="Arial"/>
                <w:b/>
                <w:sz w:val="28"/>
              </w:rPr>
              <w:t xml:space="preserve">ComEd/MAIN Historical Energy Prices </w:t>
              <w:br/>
            </w:r>
            <w:r>
              <w:rPr>
                <w:rFonts w:cs="Arial" w:ascii="Arial" w:hAnsi="Arial"/>
                <w:b/>
                <w:i/>
                <w:sz w:val="28"/>
              </w:rPr>
              <w:t>(1998$/MWh)</w:t>
            </w:r>
          </w:p>
        </w:tc>
      </w:tr>
      <w:tr>
        <w:trPr/>
        <w:tc>
          <w:tcPr>
            <w:tcW w:w="2520" w:type="dxa"/>
            <w:tcBorders>
              <w:bottom w:val="single" w:sz="6" w:space="0" w:color="000000"/>
            </w:tcBorders>
          </w:tcPr>
          <w:p>
            <w:pPr>
              <w:pStyle w:val="Normal"/>
              <w:snapToGrid w:val="false"/>
              <w:spacing w:before="36" w:after="36"/>
              <w:jc w:val="center"/>
              <w:rPr>
                <w:rFonts w:ascii="Arial" w:hAnsi="Arial" w:cs="Arial"/>
                <w:b/>
                <w:caps/>
                <w:sz w:val="16"/>
              </w:rPr>
            </w:pPr>
            <w:r>
              <w:rPr>
                <w:rFonts w:cs="Arial" w:ascii="Arial" w:hAnsi="Arial"/>
                <w:b/>
                <w:caps/>
                <w:sz w:val="16"/>
              </w:rPr>
            </w:r>
          </w:p>
        </w:tc>
        <w:tc>
          <w:tcPr>
            <w:tcW w:w="990" w:type="dxa"/>
            <w:tcBorders>
              <w:bottom w:val="single" w:sz="6" w:space="0" w:color="000000"/>
            </w:tcBorders>
            <w:vAlign w:val="bottom"/>
          </w:tcPr>
          <w:p>
            <w:pPr>
              <w:pStyle w:val="Normal"/>
              <w:spacing w:before="36" w:after="36"/>
              <w:jc w:val="center"/>
              <w:rPr>
                <w:caps/>
                <w:sz w:val="16"/>
              </w:rPr>
            </w:pPr>
            <w:r>
              <w:rPr>
                <w:caps/>
                <w:sz w:val="16"/>
              </w:rPr>
              <w:t>1996</w:t>
            </w:r>
          </w:p>
        </w:tc>
        <w:tc>
          <w:tcPr>
            <w:tcW w:w="1350" w:type="dxa"/>
            <w:tcBorders>
              <w:bottom w:val="single" w:sz="6" w:space="0" w:color="000000"/>
            </w:tcBorders>
            <w:vAlign w:val="bottom"/>
          </w:tcPr>
          <w:p>
            <w:pPr>
              <w:pStyle w:val="Normal"/>
              <w:spacing w:before="36" w:after="36"/>
              <w:jc w:val="center"/>
              <w:rPr>
                <w:caps/>
                <w:sz w:val="16"/>
              </w:rPr>
            </w:pPr>
            <w:r>
              <w:rPr>
                <w:caps/>
                <w:sz w:val="16"/>
              </w:rPr>
              <w:t>1997</w:t>
            </w:r>
          </w:p>
        </w:tc>
        <w:tc>
          <w:tcPr>
            <w:tcW w:w="1080" w:type="dxa"/>
            <w:tcBorders>
              <w:bottom w:val="single" w:sz="6" w:space="0" w:color="000000"/>
            </w:tcBorders>
            <w:vAlign w:val="bottom"/>
          </w:tcPr>
          <w:p>
            <w:pPr>
              <w:pStyle w:val="Normal"/>
              <w:tabs>
                <w:tab w:val="clear" w:pos="720"/>
                <w:tab w:val="decimal" w:pos="567" w:leader="none"/>
              </w:tabs>
              <w:spacing w:before="36" w:after="36"/>
              <w:rPr>
                <w:sz w:val="16"/>
              </w:rPr>
            </w:pPr>
            <w:r>
              <w:rPr>
                <w:caps/>
                <w:sz w:val="16"/>
              </w:rPr>
              <w:t>1998</w:t>
            </w:r>
          </w:p>
        </w:tc>
        <w:tc>
          <w:tcPr>
            <w:tcW w:w="990" w:type="dxa"/>
            <w:tcBorders>
              <w:bottom w:val="single" w:sz="6" w:space="0" w:color="000000"/>
            </w:tcBorders>
            <w:vAlign w:val="bottom"/>
          </w:tcPr>
          <w:p>
            <w:pPr>
              <w:pStyle w:val="Normal"/>
              <w:spacing w:before="36" w:after="36"/>
              <w:jc w:val="center"/>
              <w:rPr>
                <w:caps/>
                <w:sz w:val="16"/>
              </w:rPr>
            </w:pPr>
            <w:r>
              <w:rPr>
                <w:caps/>
                <w:sz w:val="16"/>
              </w:rPr>
              <w:t>1999</w:t>
            </w:r>
          </w:p>
        </w:tc>
      </w:tr>
      <w:tr>
        <w:trPr>
          <w:trHeight w:val="480" w:hRule="atLeast"/>
        </w:trPr>
        <w:tc>
          <w:tcPr>
            <w:tcW w:w="2520" w:type="dxa"/>
            <w:tcBorders/>
          </w:tcPr>
          <w:p>
            <w:pPr>
              <w:pStyle w:val="T0"/>
              <w:spacing w:before="36" w:after="36"/>
              <w:rPr/>
            </w:pPr>
            <w:r>
              <w:rPr/>
              <w:t xml:space="preserve">PMW–Into ComEd </w:t>
            </w:r>
          </w:p>
        </w:tc>
        <w:tc>
          <w:tcPr>
            <w:tcW w:w="990" w:type="dxa"/>
            <w:tcBorders/>
            <w:vAlign w:val="center"/>
          </w:tcPr>
          <w:p>
            <w:pPr>
              <w:pStyle w:val="Normal"/>
              <w:tabs>
                <w:tab w:val="clear" w:pos="720"/>
                <w:tab w:val="decimal" w:pos="567" w:leader="none"/>
              </w:tabs>
              <w:snapToGrid w:val="false"/>
              <w:spacing w:before="36" w:after="36"/>
              <w:jc w:val="both"/>
              <w:rPr>
                <w:rFonts w:ascii="Arial" w:hAnsi="Arial" w:cs="Arial"/>
              </w:rPr>
            </w:pPr>
            <w:r>
              <w:rPr>
                <w:rFonts w:cs="Arial" w:ascii="Arial" w:hAnsi="Arial"/>
              </w:rPr>
            </w:r>
          </w:p>
        </w:tc>
        <w:tc>
          <w:tcPr>
            <w:tcW w:w="1350" w:type="dxa"/>
            <w:tcBorders/>
            <w:vAlign w:val="center"/>
          </w:tcPr>
          <w:p>
            <w:pPr>
              <w:pStyle w:val="Normal"/>
              <w:tabs>
                <w:tab w:val="clear" w:pos="720"/>
                <w:tab w:val="decimal" w:pos="567" w:leader="none"/>
              </w:tabs>
              <w:snapToGrid w:val="false"/>
              <w:spacing w:before="36" w:after="36"/>
              <w:jc w:val="both"/>
              <w:rPr>
                <w:rFonts w:ascii="Arial" w:hAnsi="Arial" w:cs="Arial"/>
              </w:rPr>
            </w:pPr>
            <w:r>
              <w:rPr>
                <w:rFonts w:cs="Arial" w:ascii="Arial" w:hAnsi="Arial"/>
              </w:rPr>
            </w:r>
          </w:p>
        </w:tc>
        <w:tc>
          <w:tcPr>
            <w:tcW w:w="1080" w:type="dxa"/>
            <w:tcBorders/>
            <w:vAlign w:val="center"/>
          </w:tcPr>
          <w:p>
            <w:pPr>
              <w:pStyle w:val="Normal"/>
              <w:tabs>
                <w:tab w:val="clear" w:pos="720"/>
                <w:tab w:val="decimal" w:pos="567" w:leader="none"/>
              </w:tabs>
              <w:snapToGrid w:val="false"/>
              <w:spacing w:before="36" w:after="36"/>
              <w:jc w:val="both"/>
              <w:rPr>
                <w:rFonts w:ascii="Arial" w:hAnsi="Arial" w:cs="Arial"/>
              </w:rPr>
            </w:pPr>
            <w:r>
              <w:rPr>
                <w:rFonts w:cs="Arial" w:ascii="Arial" w:hAnsi="Arial"/>
              </w:rPr>
            </w:r>
          </w:p>
        </w:tc>
        <w:tc>
          <w:tcPr>
            <w:tcW w:w="990" w:type="dxa"/>
            <w:tcBorders/>
            <w:vAlign w:val="center"/>
          </w:tcPr>
          <w:p>
            <w:pPr>
              <w:pStyle w:val="Normal"/>
              <w:tabs>
                <w:tab w:val="clear" w:pos="720"/>
                <w:tab w:val="decimal" w:pos="567" w:leader="none"/>
              </w:tabs>
              <w:snapToGrid w:val="false"/>
              <w:spacing w:before="36" w:after="36"/>
              <w:jc w:val="both"/>
              <w:rPr>
                <w:rFonts w:ascii="Arial" w:hAnsi="Arial" w:cs="Arial"/>
              </w:rPr>
            </w:pPr>
            <w:r>
              <w:rPr>
                <w:rFonts w:cs="Arial" w:ascii="Arial" w:hAnsi="Arial"/>
              </w:rPr>
            </w:r>
          </w:p>
        </w:tc>
      </w:tr>
      <w:tr>
        <w:trPr>
          <w:trHeight w:val="480" w:hRule="atLeast"/>
        </w:trPr>
        <w:tc>
          <w:tcPr>
            <w:tcW w:w="2520" w:type="dxa"/>
            <w:tcBorders/>
          </w:tcPr>
          <w:p>
            <w:pPr>
              <w:pStyle w:val="Normal"/>
              <w:spacing w:before="36" w:after="36"/>
              <w:ind w:start="360" w:end="0"/>
              <w:rPr/>
            </w:pPr>
            <w:r>
              <w:rPr/>
              <w:t>Average Peak</w:t>
            </w:r>
            <w:r>
              <w:rPr>
                <w:vertAlign w:val="superscript"/>
              </w:rPr>
              <w:t>1</w:t>
            </w:r>
          </w:p>
        </w:tc>
        <w:tc>
          <w:tcPr>
            <w:tcW w:w="990" w:type="dxa"/>
            <w:tcBorders/>
            <w:vAlign w:val="center"/>
          </w:tcPr>
          <w:p>
            <w:pPr>
              <w:pStyle w:val="Normal"/>
              <w:tabs>
                <w:tab w:val="clear" w:pos="720"/>
                <w:tab w:val="decimal" w:pos="567" w:leader="none"/>
              </w:tabs>
              <w:spacing w:before="36" w:after="36"/>
              <w:jc w:val="both"/>
              <w:rPr>
                <w:rFonts w:ascii="Arial" w:hAnsi="Arial" w:cs="Arial"/>
              </w:rPr>
            </w:pPr>
            <w:r>
              <w:rPr>
                <w:rFonts w:cs="Arial" w:ascii="Arial" w:hAnsi="Arial"/>
              </w:rPr>
              <w:t>NA</w:t>
            </w:r>
          </w:p>
        </w:tc>
        <w:tc>
          <w:tcPr>
            <w:tcW w:w="1350" w:type="dxa"/>
            <w:tcBorders/>
            <w:vAlign w:val="center"/>
          </w:tcPr>
          <w:p>
            <w:pPr>
              <w:pStyle w:val="T0"/>
              <w:tabs>
                <w:tab w:val="clear" w:pos="720"/>
                <w:tab w:val="decimal" w:pos="567" w:leader="none"/>
              </w:tabs>
              <w:spacing w:before="36" w:after="36"/>
              <w:jc w:val="both"/>
              <w:rPr/>
            </w:pPr>
            <w:r>
              <w:rPr/>
              <w:t>28.7</w:t>
            </w:r>
          </w:p>
        </w:tc>
        <w:tc>
          <w:tcPr>
            <w:tcW w:w="1080" w:type="dxa"/>
            <w:tcBorders/>
            <w:vAlign w:val="center"/>
          </w:tcPr>
          <w:p>
            <w:pPr>
              <w:pStyle w:val="Normal"/>
              <w:tabs>
                <w:tab w:val="clear" w:pos="720"/>
                <w:tab w:val="decimal" w:pos="567" w:leader="none"/>
              </w:tabs>
              <w:spacing w:before="36" w:after="36"/>
              <w:jc w:val="both"/>
              <w:rPr>
                <w:rFonts w:ascii="Arial" w:hAnsi="Arial" w:cs="Arial"/>
              </w:rPr>
            </w:pPr>
            <w:r>
              <w:rPr>
                <w:rFonts w:cs="Arial" w:ascii="Arial" w:hAnsi="Arial"/>
              </w:rPr>
              <w:t>49.8</w:t>
            </w:r>
          </w:p>
        </w:tc>
        <w:tc>
          <w:tcPr>
            <w:tcW w:w="990" w:type="dxa"/>
            <w:tcBorders/>
            <w:vAlign w:val="center"/>
          </w:tcPr>
          <w:p>
            <w:pPr>
              <w:pStyle w:val="T0"/>
              <w:tabs>
                <w:tab w:val="clear" w:pos="720"/>
                <w:tab w:val="decimal" w:pos="567" w:leader="none"/>
              </w:tabs>
              <w:spacing w:before="36" w:after="36"/>
              <w:jc w:val="both"/>
              <w:rPr/>
            </w:pPr>
            <w:r>
              <w:rPr/>
              <w:t>57.9</w:t>
            </w:r>
          </w:p>
        </w:tc>
      </w:tr>
      <w:tr>
        <w:trPr>
          <w:trHeight w:val="480" w:hRule="atLeast"/>
        </w:trPr>
        <w:tc>
          <w:tcPr>
            <w:tcW w:w="2520" w:type="dxa"/>
            <w:tcBorders/>
          </w:tcPr>
          <w:p>
            <w:pPr>
              <w:pStyle w:val="Normal"/>
              <w:spacing w:before="36" w:after="36"/>
              <w:ind w:start="360" w:end="0"/>
              <w:rPr/>
            </w:pPr>
            <w:r>
              <w:rPr/>
              <w:t>High</w:t>
            </w:r>
          </w:p>
        </w:tc>
        <w:tc>
          <w:tcPr>
            <w:tcW w:w="990" w:type="dxa"/>
            <w:tcBorders/>
            <w:vAlign w:val="center"/>
          </w:tcPr>
          <w:p>
            <w:pPr>
              <w:pStyle w:val="Normal"/>
              <w:tabs>
                <w:tab w:val="clear" w:pos="720"/>
                <w:tab w:val="decimal" w:pos="567" w:leader="none"/>
              </w:tabs>
              <w:spacing w:before="36" w:after="36"/>
              <w:jc w:val="both"/>
              <w:rPr>
                <w:rFonts w:ascii="Arial" w:hAnsi="Arial" w:cs="Arial"/>
              </w:rPr>
            </w:pPr>
            <w:r>
              <w:rPr>
                <w:rFonts w:cs="Arial" w:ascii="Arial" w:hAnsi="Arial"/>
              </w:rPr>
              <w:t>NA</w:t>
            </w:r>
          </w:p>
        </w:tc>
        <w:tc>
          <w:tcPr>
            <w:tcW w:w="1350" w:type="dxa"/>
            <w:tcBorders/>
            <w:vAlign w:val="center"/>
          </w:tcPr>
          <w:p>
            <w:pPr>
              <w:pStyle w:val="Normal"/>
              <w:tabs>
                <w:tab w:val="clear" w:pos="720"/>
                <w:tab w:val="decimal" w:pos="567" w:leader="none"/>
              </w:tabs>
              <w:spacing w:before="36" w:after="36"/>
              <w:jc w:val="both"/>
              <w:rPr>
                <w:rFonts w:ascii="Arial" w:hAnsi="Arial" w:cs="Arial"/>
              </w:rPr>
            </w:pPr>
            <w:r>
              <w:rPr>
                <w:rFonts w:cs="Arial" w:ascii="Arial" w:hAnsi="Arial"/>
              </w:rPr>
              <w:t>104.3</w:t>
            </w:r>
          </w:p>
        </w:tc>
        <w:tc>
          <w:tcPr>
            <w:tcW w:w="1080" w:type="dxa"/>
            <w:tcBorders/>
            <w:vAlign w:val="center"/>
          </w:tcPr>
          <w:p>
            <w:pPr>
              <w:pStyle w:val="Normal"/>
              <w:tabs>
                <w:tab w:val="clear" w:pos="720"/>
                <w:tab w:val="decimal" w:pos="567" w:leader="none"/>
              </w:tabs>
              <w:spacing w:before="36" w:after="36"/>
              <w:jc w:val="both"/>
              <w:rPr>
                <w:rFonts w:ascii="Arial" w:hAnsi="Arial" w:cs="Arial"/>
              </w:rPr>
            </w:pPr>
            <w:r>
              <w:rPr>
                <w:rFonts w:cs="Arial" w:ascii="Arial" w:hAnsi="Arial"/>
              </w:rPr>
              <w:t>690.4</w:t>
            </w:r>
          </w:p>
        </w:tc>
        <w:tc>
          <w:tcPr>
            <w:tcW w:w="990" w:type="dxa"/>
            <w:tcBorders/>
            <w:vAlign w:val="center"/>
          </w:tcPr>
          <w:p>
            <w:pPr>
              <w:pStyle w:val="Normal"/>
              <w:tabs>
                <w:tab w:val="clear" w:pos="720"/>
                <w:tab w:val="decimal" w:pos="567" w:leader="none"/>
              </w:tabs>
              <w:spacing w:before="36" w:after="36"/>
              <w:jc w:val="both"/>
              <w:rPr>
                <w:rFonts w:ascii="Arial" w:hAnsi="Arial" w:cs="Arial"/>
              </w:rPr>
            </w:pPr>
            <w:r>
              <w:rPr>
                <w:rFonts w:cs="Arial" w:ascii="Arial" w:hAnsi="Arial"/>
              </w:rPr>
              <w:t>1,365.7</w:t>
            </w:r>
          </w:p>
        </w:tc>
      </w:tr>
      <w:tr>
        <w:trPr>
          <w:trHeight w:val="480" w:hRule="atLeast"/>
        </w:trPr>
        <w:tc>
          <w:tcPr>
            <w:tcW w:w="2520" w:type="dxa"/>
            <w:tcBorders/>
          </w:tcPr>
          <w:p>
            <w:pPr>
              <w:pStyle w:val="T0"/>
              <w:spacing w:before="36" w:after="36"/>
              <w:rPr/>
            </w:pPr>
            <w:r>
              <w:rPr>
                <w:rFonts w:eastAsia="Arial"/>
              </w:rPr>
              <w:t xml:space="preserve">     </w:t>
            </w:r>
            <w:r>
              <w:rPr/>
              <w:t>Average Summer</w:t>
            </w:r>
            <w:r>
              <w:rPr>
                <w:vertAlign w:val="superscript"/>
              </w:rPr>
              <w:t>2</w:t>
            </w:r>
            <w:r>
              <w:rPr/>
              <w:t xml:space="preserve"> Peak</w:t>
            </w:r>
          </w:p>
        </w:tc>
        <w:tc>
          <w:tcPr>
            <w:tcW w:w="990" w:type="dxa"/>
            <w:tcBorders/>
            <w:vAlign w:val="center"/>
          </w:tcPr>
          <w:p>
            <w:pPr>
              <w:pStyle w:val="Normal"/>
              <w:tabs>
                <w:tab w:val="clear" w:pos="720"/>
                <w:tab w:val="decimal" w:pos="567" w:leader="none"/>
              </w:tabs>
              <w:snapToGrid w:val="false"/>
              <w:spacing w:before="36" w:after="36"/>
              <w:jc w:val="both"/>
              <w:rPr>
                <w:rFonts w:ascii="Arial" w:hAnsi="Arial" w:cs="Arial"/>
              </w:rPr>
            </w:pPr>
            <w:r>
              <w:rPr>
                <w:rFonts w:cs="Arial" w:ascii="Arial" w:hAnsi="Arial"/>
              </w:rPr>
            </w:r>
          </w:p>
        </w:tc>
        <w:tc>
          <w:tcPr>
            <w:tcW w:w="1350" w:type="dxa"/>
            <w:tcBorders/>
            <w:vAlign w:val="center"/>
          </w:tcPr>
          <w:p>
            <w:pPr>
              <w:pStyle w:val="Normal"/>
              <w:tabs>
                <w:tab w:val="clear" w:pos="720"/>
                <w:tab w:val="decimal" w:pos="567" w:leader="none"/>
              </w:tabs>
              <w:spacing w:before="36" w:after="36"/>
              <w:jc w:val="both"/>
              <w:rPr>
                <w:rFonts w:ascii="Arial" w:hAnsi="Arial" w:cs="Arial"/>
              </w:rPr>
            </w:pPr>
            <w:r>
              <w:rPr>
                <w:rFonts w:cs="Arial" w:ascii="Arial" w:hAnsi="Arial"/>
              </w:rPr>
              <w:t>33.6</w:t>
            </w:r>
          </w:p>
        </w:tc>
        <w:tc>
          <w:tcPr>
            <w:tcW w:w="1080" w:type="dxa"/>
            <w:tcBorders/>
            <w:vAlign w:val="center"/>
          </w:tcPr>
          <w:p>
            <w:pPr>
              <w:pStyle w:val="T0"/>
              <w:tabs>
                <w:tab w:val="clear" w:pos="720"/>
                <w:tab w:val="decimal" w:pos="567" w:leader="none"/>
              </w:tabs>
              <w:spacing w:before="36" w:after="36"/>
              <w:jc w:val="both"/>
              <w:rPr/>
            </w:pPr>
            <w:r>
              <w:rPr/>
              <w:t>115.3</w:t>
            </w:r>
          </w:p>
        </w:tc>
        <w:tc>
          <w:tcPr>
            <w:tcW w:w="990" w:type="dxa"/>
            <w:tcBorders/>
            <w:vAlign w:val="center"/>
          </w:tcPr>
          <w:p>
            <w:pPr>
              <w:pStyle w:val="Normal"/>
              <w:tabs>
                <w:tab w:val="clear" w:pos="720"/>
                <w:tab w:val="decimal" w:pos="567" w:leader="none"/>
              </w:tabs>
              <w:spacing w:before="36" w:after="36"/>
              <w:jc w:val="both"/>
              <w:rPr>
                <w:rFonts w:ascii="Arial" w:hAnsi="Arial" w:cs="Arial"/>
              </w:rPr>
            </w:pPr>
            <w:r>
              <w:rPr>
                <w:rFonts w:cs="Arial" w:ascii="Arial" w:hAnsi="Arial"/>
              </w:rPr>
              <w:t>166.8</w:t>
            </w:r>
          </w:p>
        </w:tc>
      </w:tr>
      <w:tr>
        <w:trPr>
          <w:trHeight w:val="480" w:hRule="atLeast"/>
        </w:trPr>
        <w:tc>
          <w:tcPr>
            <w:tcW w:w="2520" w:type="dxa"/>
            <w:tcBorders/>
          </w:tcPr>
          <w:p>
            <w:pPr>
              <w:pStyle w:val="T0"/>
              <w:spacing w:before="36" w:after="36"/>
              <w:rPr/>
            </w:pPr>
            <w:r>
              <w:rPr/>
              <w:t>PMW–MAIN</w:t>
            </w:r>
          </w:p>
        </w:tc>
        <w:tc>
          <w:tcPr>
            <w:tcW w:w="990" w:type="dxa"/>
            <w:tcBorders/>
            <w:vAlign w:val="center"/>
          </w:tcPr>
          <w:p>
            <w:pPr>
              <w:pStyle w:val="Normal"/>
              <w:tabs>
                <w:tab w:val="clear" w:pos="720"/>
                <w:tab w:val="decimal" w:pos="567" w:leader="none"/>
              </w:tabs>
              <w:snapToGrid w:val="false"/>
              <w:spacing w:before="36" w:after="36"/>
              <w:jc w:val="both"/>
              <w:rPr>
                <w:rFonts w:ascii="Arial" w:hAnsi="Arial" w:cs="Arial"/>
              </w:rPr>
            </w:pPr>
            <w:r>
              <w:rPr>
                <w:rFonts w:cs="Arial" w:ascii="Arial" w:hAnsi="Arial"/>
              </w:rPr>
            </w:r>
          </w:p>
        </w:tc>
        <w:tc>
          <w:tcPr>
            <w:tcW w:w="1350" w:type="dxa"/>
            <w:tcBorders/>
            <w:vAlign w:val="center"/>
          </w:tcPr>
          <w:p>
            <w:pPr>
              <w:pStyle w:val="Normal"/>
              <w:tabs>
                <w:tab w:val="clear" w:pos="720"/>
                <w:tab w:val="decimal" w:pos="567" w:leader="none"/>
              </w:tabs>
              <w:snapToGrid w:val="false"/>
              <w:spacing w:before="36" w:after="36"/>
              <w:jc w:val="both"/>
              <w:rPr>
                <w:rFonts w:ascii="Arial" w:hAnsi="Arial" w:cs="Arial"/>
              </w:rPr>
            </w:pPr>
            <w:r>
              <w:rPr>
                <w:rFonts w:cs="Arial" w:ascii="Arial" w:hAnsi="Arial"/>
              </w:rPr>
            </w:r>
          </w:p>
        </w:tc>
        <w:tc>
          <w:tcPr>
            <w:tcW w:w="1080" w:type="dxa"/>
            <w:tcBorders/>
            <w:vAlign w:val="center"/>
          </w:tcPr>
          <w:p>
            <w:pPr>
              <w:pStyle w:val="T0"/>
              <w:tabs>
                <w:tab w:val="clear" w:pos="720"/>
                <w:tab w:val="decimal" w:pos="567" w:leader="none"/>
              </w:tabs>
              <w:snapToGrid w:val="false"/>
              <w:spacing w:before="36" w:after="36"/>
              <w:jc w:val="both"/>
              <w:rPr>
                <w:rFonts w:ascii="Arial" w:hAnsi="Arial" w:cs="Arial"/>
              </w:rPr>
            </w:pPr>
            <w:r>
              <w:rPr>
                <w:rFonts w:cs="Arial"/>
              </w:rPr>
            </w:r>
          </w:p>
        </w:tc>
        <w:tc>
          <w:tcPr>
            <w:tcW w:w="990" w:type="dxa"/>
            <w:tcBorders/>
            <w:vAlign w:val="center"/>
          </w:tcPr>
          <w:p>
            <w:pPr>
              <w:pStyle w:val="Normal"/>
              <w:tabs>
                <w:tab w:val="clear" w:pos="720"/>
                <w:tab w:val="decimal" w:pos="567" w:leader="none"/>
              </w:tabs>
              <w:snapToGrid w:val="false"/>
              <w:spacing w:before="36" w:after="36"/>
              <w:jc w:val="both"/>
              <w:rPr>
                <w:rFonts w:ascii="Arial" w:hAnsi="Arial" w:cs="Arial"/>
              </w:rPr>
            </w:pPr>
            <w:r>
              <w:rPr>
                <w:rFonts w:cs="Arial" w:ascii="Arial" w:hAnsi="Arial"/>
              </w:rPr>
            </w:r>
          </w:p>
        </w:tc>
      </w:tr>
      <w:tr>
        <w:trPr>
          <w:trHeight w:val="480" w:hRule="atLeast"/>
        </w:trPr>
        <w:tc>
          <w:tcPr>
            <w:tcW w:w="2520" w:type="dxa"/>
            <w:tcBorders/>
          </w:tcPr>
          <w:p>
            <w:pPr>
              <w:pStyle w:val="Normal"/>
              <w:spacing w:before="36" w:after="36"/>
              <w:ind w:start="360" w:end="0"/>
              <w:rPr/>
            </w:pPr>
            <w:r>
              <w:rPr/>
              <w:t>Average Peak</w:t>
            </w:r>
            <w:r>
              <w:rPr>
                <w:vertAlign w:val="superscript"/>
              </w:rPr>
              <w:t>1</w:t>
            </w:r>
          </w:p>
        </w:tc>
        <w:tc>
          <w:tcPr>
            <w:tcW w:w="990" w:type="dxa"/>
            <w:tcBorders/>
            <w:vAlign w:val="center"/>
          </w:tcPr>
          <w:p>
            <w:pPr>
              <w:pStyle w:val="T0"/>
              <w:tabs>
                <w:tab w:val="clear" w:pos="720"/>
                <w:tab w:val="decimal" w:pos="540" w:leader="none"/>
              </w:tabs>
              <w:spacing w:before="36" w:after="36"/>
              <w:jc w:val="both"/>
              <w:rPr/>
            </w:pPr>
            <w:r>
              <w:rPr/>
              <w:t>22.4</w:t>
            </w:r>
          </w:p>
        </w:tc>
        <w:tc>
          <w:tcPr>
            <w:tcW w:w="1350" w:type="dxa"/>
            <w:tcBorders/>
            <w:vAlign w:val="center"/>
          </w:tcPr>
          <w:p>
            <w:pPr>
              <w:pStyle w:val="T0"/>
              <w:tabs>
                <w:tab w:val="clear" w:pos="720"/>
                <w:tab w:val="decimal" w:pos="540" w:leader="none"/>
              </w:tabs>
              <w:spacing w:before="36" w:after="36"/>
              <w:jc w:val="both"/>
              <w:rPr/>
            </w:pPr>
            <w:r>
              <w:rPr/>
              <w:t>26.2</w:t>
            </w:r>
          </w:p>
        </w:tc>
        <w:tc>
          <w:tcPr>
            <w:tcW w:w="1080" w:type="dxa"/>
            <w:tcBorders/>
            <w:vAlign w:val="center"/>
          </w:tcPr>
          <w:p>
            <w:pPr>
              <w:pStyle w:val="T0"/>
              <w:tabs>
                <w:tab w:val="clear" w:pos="720"/>
                <w:tab w:val="decimal" w:pos="540" w:leader="none"/>
              </w:tabs>
              <w:spacing w:before="36" w:after="216"/>
              <w:jc w:val="both"/>
              <w:rPr/>
            </w:pPr>
            <w:r>
              <w:rPr/>
              <w:t>49.3</w:t>
            </w:r>
          </w:p>
        </w:tc>
        <w:tc>
          <w:tcPr>
            <w:tcW w:w="990" w:type="dxa"/>
            <w:tcBorders/>
            <w:vAlign w:val="center"/>
          </w:tcPr>
          <w:p>
            <w:pPr>
              <w:pStyle w:val="Normal"/>
              <w:tabs>
                <w:tab w:val="clear" w:pos="720"/>
                <w:tab w:val="decimal" w:pos="567" w:leader="none"/>
              </w:tabs>
              <w:spacing w:before="36" w:after="36"/>
              <w:jc w:val="both"/>
              <w:rPr>
                <w:rFonts w:ascii="Arial" w:hAnsi="Arial" w:cs="Arial"/>
              </w:rPr>
            </w:pPr>
            <w:r>
              <w:rPr>
                <w:rFonts w:cs="Arial" w:ascii="Arial" w:hAnsi="Arial"/>
              </w:rPr>
              <w:t>45.0</w:t>
            </w:r>
          </w:p>
        </w:tc>
      </w:tr>
      <w:tr>
        <w:trPr>
          <w:trHeight w:val="480" w:hRule="atLeast"/>
        </w:trPr>
        <w:tc>
          <w:tcPr>
            <w:tcW w:w="2520" w:type="dxa"/>
            <w:tcBorders/>
          </w:tcPr>
          <w:p>
            <w:pPr>
              <w:pStyle w:val="Normal"/>
              <w:spacing w:before="36" w:after="216"/>
              <w:ind w:start="360" w:end="0"/>
              <w:rPr/>
            </w:pPr>
            <w:r>
              <w:rPr/>
              <w:t>High</w:t>
            </w:r>
          </w:p>
        </w:tc>
        <w:tc>
          <w:tcPr>
            <w:tcW w:w="990" w:type="dxa"/>
            <w:tcBorders/>
            <w:vAlign w:val="center"/>
          </w:tcPr>
          <w:p>
            <w:pPr>
              <w:pStyle w:val="Normal"/>
              <w:tabs>
                <w:tab w:val="clear" w:pos="720"/>
                <w:tab w:val="decimal" w:pos="567" w:leader="none"/>
              </w:tabs>
              <w:spacing w:before="36" w:after="216"/>
              <w:jc w:val="both"/>
              <w:rPr>
                <w:rFonts w:ascii="Arial" w:hAnsi="Arial" w:cs="Arial"/>
              </w:rPr>
            </w:pPr>
            <w:r>
              <w:rPr>
                <w:rFonts w:cs="Arial" w:ascii="Arial" w:hAnsi="Arial"/>
              </w:rPr>
              <w:t>39.9</w:t>
            </w:r>
          </w:p>
        </w:tc>
        <w:tc>
          <w:tcPr>
            <w:tcW w:w="1350" w:type="dxa"/>
            <w:tcBorders/>
            <w:vAlign w:val="center"/>
          </w:tcPr>
          <w:p>
            <w:pPr>
              <w:pStyle w:val="Normal"/>
              <w:tabs>
                <w:tab w:val="clear" w:pos="720"/>
                <w:tab w:val="decimal" w:pos="567" w:leader="none"/>
              </w:tabs>
              <w:spacing w:before="36" w:after="216"/>
              <w:jc w:val="both"/>
              <w:rPr>
                <w:rFonts w:ascii="Arial" w:hAnsi="Arial" w:cs="Arial"/>
              </w:rPr>
            </w:pPr>
            <w:r>
              <w:rPr>
                <w:rFonts w:cs="Arial" w:ascii="Arial" w:hAnsi="Arial"/>
              </w:rPr>
              <w:t>114.7</w:t>
            </w:r>
          </w:p>
        </w:tc>
        <w:tc>
          <w:tcPr>
            <w:tcW w:w="1080" w:type="dxa"/>
            <w:tcBorders/>
            <w:vAlign w:val="center"/>
          </w:tcPr>
          <w:p>
            <w:pPr>
              <w:pStyle w:val="Normal"/>
              <w:tabs>
                <w:tab w:val="clear" w:pos="720"/>
                <w:tab w:val="decimal" w:pos="567" w:leader="none"/>
              </w:tabs>
              <w:spacing w:before="36" w:after="216"/>
              <w:jc w:val="both"/>
              <w:rPr>
                <w:rFonts w:ascii="Arial" w:hAnsi="Arial" w:cs="Arial"/>
              </w:rPr>
            </w:pPr>
            <w:r>
              <w:rPr>
                <w:rFonts w:cs="Arial" w:ascii="Arial" w:hAnsi="Arial"/>
              </w:rPr>
              <w:t>690.4</w:t>
            </w:r>
          </w:p>
        </w:tc>
        <w:tc>
          <w:tcPr>
            <w:tcW w:w="990" w:type="dxa"/>
            <w:tcBorders/>
            <w:vAlign w:val="center"/>
          </w:tcPr>
          <w:p>
            <w:pPr>
              <w:pStyle w:val="Normal"/>
              <w:tabs>
                <w:tab w:val="clear" w:pos="720"/>
                <w:tab w:val="decimal" w:pos="567" w:leader="none"/>
              </w:tabs>
              <w:spacing w:before="36" w:after="216"/>
              <w:jc w:val="both"/>
              <w:rPr>
                <w:rFonts w:ascii="Arial" w:hAnsi="Arial" w:cs="Arial"/>
              </w:rPr>
            </w:pPr>
            <w:r>
              <w:rPr>
                <w:rFonts w:cs="Arial" w:ascii="Arial" w:hAnsi="Arial"/>
              </w:rPr>
              <w:t>922.3</w:t>
            </w:r>
          </w:p>
        </w:tc>
      </w:tr>
      <w:tr>
        <w:trPr>
          <w:trHeight w:val="480" w:hRule="atLeast"/>
        </w:trPr>
        <w:tc>
          <w:tcPr>
            <w:tcW w:w="2520" w:type="dxa"/>
            <w:tcBorders/>
          </w:tcPr>
          <w:p>
            <w:pPr>
              <w:pStyle w:val="Normal"/>
              <w:spacing w:before="36" w:after="216"/>
              <w:ind w:start="360" w:end="0"/>
              <w:rPr/>
            </w:pPr>
            <w:r>
              <w:rPr/>
              <w:t>Average Summer</w:t>
            </w:r>
            <w:r>
              <w:rPr>
                <w:vertAlign w:val="superscript"/>
              </w:rPr>
              <w:t>2</w:t>
            </w:r>
            <w:r>
              <w:rPr/>
              <w:t xml:space="preserve"> Peak</w:t>
            </w:r>
          </w:p>
        </w:tc>
        <w:tc>
          <w:tcPr>
            <w:tcW w:w="990" w:type="dxa"/>
            <w:tcBorders/>
            <w:vAlign w:val="center"/>
          </w:tcPr>
          <w:p>
            <w:pPr>
              <w:pStyle w:val="Normal"/>
              <w:tabs>
                <w:tab w:val="clear" w:pos="720"/>
                <w:tab w:val="decimal" w:pos="567" w:leader="none"/>
              </w:tabs>
              <w:spacing w:before="36" w:after="216"/>
              <w:jc w:val="both"/>
              <w:rPr>
                <w:rFonts w:ascii="Arial" w:hAnsi="Arial" w:cs="Arial"/>
              </w:rPr>
            </w:pPr>
            <w:r>
              <w:rPr>
                <w:rFonts w:cs="Arial" w:ascii="Arial" w:hAnsi="Arial"/>
              </w:rPr>
              <w:t>24.8</w:t>
            </w:r>
          </w:p>
        </w:tc>
        <w:tc>
          <w:tcPr>
            <w:tcW w:w="1350" w:type="dxa"/>
            <w:tcBorders/>
            <w:vAlign w:val="center"/>
          </w:tcPr>
          <w:p>
            <w:pPr>
              <w:pStyle w:val="Normal"/>
              <w:tabs>
                <w:tab w:val="clear" w:pos="720"/>
                <w:tab w:val="decimal" w:pos="567" w:leader="none"/>
              </w:tabs>
              <w:spacing w:before="36" w:after="216"/>
              <w:jc w:val="both"/>
              <w:rPr>
                <w:rFonts w:ascii="Arial" w:hAnsi="Arial" w:cs="Arial"/>
              </w:rPr>
            </w:pPr>
            <w:r>
              <w:rPr>
                <w:rFonts w:cs="Arial" w:ascii="Arial" w:hAnsi="Arial"/>
              </w:rPr>
              <w:t>34.9</w:t>
            </w:r>
          </w:p>
        </w:tc>
        <w:tc>
          <w:tcPr>
            <w:tcW w:w="1080" w:type="dxa"/>
            <w:tcBorders/>
            <w:vAlign w:val="center"/>
          </w:tcPr>
          <w:p>
            <w:pPr>
              <w:pStyle w:val="Normal"/>
              <w:tabs>
                <w:tab w:val="clear" w:pos="720"/>
                <w:tab w:val="decimal" w:pos="567" w:leader="none"/>
              </w:tabs>
              <w:spacing w:before="36" w:after="216"/>
              <w:jc w:val="both"/>
              <w:rPr>
                <w:rFonts w:ascii="Arial" w:hAnsi="Arial" w:cs="Arial"/>
              </w:rPr>
            </w:pPr>
            <w:r>
              <w:rPr>
                <w:rFonts w:cs="Arial" w:ascii="Arial" w:hAnsi="Arial"/>
              </w:rPr>
              <w:t>113.9</w:t>
            </w:r>
          </w:p>
        </w:tc>
        <w:tc>
          <w:tcPr>
            <w:tcW w:w="990" w:type="dxa"/>
            <w:tcBorders/>
            <w:vAlign w:val="center"/>
          </w:tcPr>
          <w:p>
            <w:pPr>
              <w:pStyle w:val="Normal"/>
              <w:tabs>
                <w:tab w:val="clear" w:pos="720"/>
                <w:tab w:val="decimal" w:pos="567" w:leader="none"/>
              </w:tabs>
              <w:spacing w:before="36" w:after="216"/>
              <w:jc w:val="both"/>
              <w:rPr>
                <w:rFonts w:ascii="Arial" w:hAnsi="Arial" w:cs="Arial"/>
              </w:rPr>
            </w:pPr>
            <w:r>
              <w:rPr>
                <w:rFonts w:cs="Arial" w:ascii="Arial" w:hAnsi="Arial"/>
              </w:rPr>
              <w:t>104.0</w:t>
            </w:r>
            <w:r>
              <w:rPr>
                <w:rStyle w:val="CommentReference"/>
                <w:rFonts w:cs="Arial" w:ascii="Arial" w:hAnsi="Arial"/>
                <w:vanish w:val="false"/>
              </w:rPr>
              <w:commentReference w:id="11"/>
            </w:r>
          </w:p>
        </w:tc>
      </w:tr>
      <w:tr>
        <w:trPr>
          <w:trHeight w:val="480" w:hRule="atLeast"/>
        </w:trPr>
        <w:tc>
          <w:tcPr>
            <w:tcW w:w="2520" w:type="dxa"/>
            <w:tcBorders/>
          </w:tcPr>
          <w:p>
            <w:pPr>
              <w:pStyle w:val="T0"/>
              <w:spacing w:before="36" w:after="36"/>
              <w:rPr/>
            </w:pPr>
            <w:r>
              <w:rPr/>
              <w:t>Megawatt Daily –  ComEd</w:t>
            </w:r>
          </w:p>
        </w:tc>
        <w:tc>
          <w:tcPr>
            <w:tcW w:w="990" w:type="dxa"/>
            <w:tcBorders/>
            <w:vAlign w:val="center"/>
          </w:tcPr>
          <w:p>
            <w:pPr>
              <w:pStyle w:val="Normal"/>
              <w:tabs>
                <w:tab w:val="clear" w:pos="720"/>
                <w:tab w:val="decimal" w:pos="567" w:leader="none"/>
              </w:tabs>
              <w:snapToGrid w:val="false"/>
              <w:spacing w:before="36" w:after="36"/>
              <w:jc w:val="both"/>
              <w:rPr>
                <w:rFonts w:ascii="Arial" w:hAnsi="Arial" w:cs="Arial"/>
              </w:rPr>
            </w:pPr>
            <w:r>
              <w:rPr>
                <w:rFonts w:cs="Arial" w:ascii="Arial" w:hAnsi="Arial"/>
              </w:rPr>
            </w:r>
          </w:p>
        </w:tc>
        <w:tc>
          <w:tcPr>
            <w:tcW w:w="1350" w:type="dxa"/>
            <w:tcBorders/>
            <w:vAlign w:val="center"/>
          </w:tcPr>
          <w:p>
            <w:pPr>
              <w:pStyle w:val="Normal"/>
              <w:tabs>
                <w:tab w:val="clear" w:pos="720"/>
                <w:tab w:val="decimal" w:pos="567" w:leader="none"/>
              </w:tabs>
              <w:snapToGrid w:val="false"/>
              <w:spacing w:before="36" w:after="36"/>
              <w:jc w:val="both"/>
              <w:rPr>
                <w:rFonts w:ascii="Arial" w:hAnsi="Arial" w:cs="Arial"/>
              </w:rPr>
            </w:pPr>
            <w:r>
              <w:rPr>
                <w:rFonts w:cs="Arial" w:ascii="Arial" w:hAnsi="Arial"/>
              </w:rPr>
            </w:r>
          </w:p>
        </w:tc>
        <w:tc>
          <w:tcPr>
            <w:tcW w:w="1080" w:type="dxa"/>
            <w:tcBorders/>
            <w:vAlign w:val="center"/>
          </w:tcPr>
          <w:p>
            <w:pPr>
              <w:pStyle w:val="T0"/>
              <w:tabs>
                <w:tab w:val="clear" w:pos="720"/>
                <w:tab w:val="decimal" w:pos="567" w:leader="none"/>
              </w:tabs>
              <w:snapToGrid w:val="false"/>
              <w:spacing w:before="36" w:after="36"/>
              <w:jc w:val="both"/>
              <w:rPr>
                <w:rFonts w:ascii="Arial" w:hAnsi="Arial" w:cs="Arial"/>
              </w:rPr>
            </w:pPr>
            <w:r>
              <w:rPr>
                <w:rFonts w:cs="Arial"/>
              </w:rPr>
            </w:r>
          </w:p>
        </w:tc>
        <w:tc>
          <w:tcPr>
            <w:tcW w:w="990" w:type="dxa"/>
            <w:tcBorders/>
            <w:vAlign w:val="center"/>
          </w:tcPr>
          <w:p>
            <w:pPr>
              <w:pStyle w:val="Normal"/>
              <w:tabs>
                <w:tab w:val="clear" w:pos="720"/>
                <w:tab w:val="decimal" w:pos="567" w:leader="none"/>
              </w:tabs>
              <w:snapToGrid w:val="false"/>
              <w:spacing w:before="36" w:after="36"/>
              <w:jc w:val="both"/>
              <w:rPr>
                <w:rFonts w:ascii="Arial" w:hAnsi="Arial" w:cs="Arial"/>
              </w:rPr>
            </w:pPr>
            <w:r>
              <w:rPr>
                <w:rFonts w:cs="Arial" w:ascii="Arial" w:hAnsi="Arial"/>
              </w:rPr>
            </w:r>
          </w:p>
        </w:tc>
      </w:tr>
      <w:tr>
        <w:trPr>
          <w:trHeight w:val="480" w:hRule="atLeast"/>
        </w:trPr>
        <w:tc>
          <w:tcPr>
            <w:tcW w:w="2520" w:type="dxa"/>
            <w:tcBorders/>
          </w:tcPr>
          <w:p>
            <w:pPr>
              <w:pStyle w:val="Normal"/>
              <w:spacing w:before="36" w:after="36"/>
              <w:ind w:start="360" w:end="0"/>
              <w:rPr/>
            </w:pPr>
            <w:r>
              <w:rPr/>
              <w:t>Average Peak</w:t>
            </w:r>
            <w:r>
              <w:rPr>
                <w:vertAlign w:val="superscript"/>
              </w:rPr>
              <w:t>1</w:t>
            </w:r>
          </w:p>
        </w:tc>
        <w:tc>
          <w:tcPr>
            <w:tcW w:w="990" w:type="dxa"/>
            <w:tcBorders/>
            <w:vAlign w:val="center"/>
          </w:tcPr>
          <w:p>
            <w:pPr>
              <w:pStyle w:val="T0"/>
              <w:tabs>
                <w:tab w:val="clear" w:pos="720"/>
                <w:tab w:val="decimal" w:pos="540" w:leader="none"/>
              </w:tabs>
              <w:spacing w:before="36" w:after="36"/>
              <w:jc w:val="both"/>
              <w:rPr/>
            </w:pPr>
            <w:r>
              <w:rPr/>
              <w:t>NA</w:t>
            </w:r>
          </w:p>
        </w:tc>
        <w:tc>
          <w:tcPr>
            <w:tcW w:w="1350" w:type="dxa"/>
            <w:tcBorders/>
            <w:vAlign w:val="center"/>
          </w:tcPr>
          <w:p>
            <w:pPr>
              <w:pStyle w:val="T0"/>
              <w:tabs>
                <w:tab w:val="clear" w:pos="720"/>
                <w:tab w:val="decimal" w:pos="540" w:leader="none"/>
              </w:tabs>
              <w:spacing w:before="36" w:after="36"/>
              <w:jc w:val="both"/>
              <w:rPr/>
            </w:pPr>
            <w:r>
              <w:rPr/>
              <w:t>26.2</w:t>
            </w:r>
          </w:p>
        </w:tc>
        <w:tc>
          <w:tcPr>
            <w:tcW w:w="1080" w:type="dxa"/>
            <w:tcBorders/>
            <w:vAlign w:val="center"/>
          </w:tcPr>
          <w:p>
            <w:pPr>
              <w:pStyle w:val="T0"/>
              <w:tabs>
                <w:tab w:val="clear" w:pos="720"/>
                <w:tab w:val="decimal" w:pos="540" w:leader="none"/>
              </w:tabs>
              <w:spacing w:before="36" w:after="216"/>
              <w:jc w:val="both"/>
              <w:rPr/>
            </w:pPr>
            <w:r>
              <w:rPr/>
              <w:t>46.0</w:t>
            </w:r>
          </w:p>
        </w:tc>
        <w:tc>
          <w:tcPr>
            <w:tcW w:w="990" w:type="dxa"/>
            <w:tcBorders/>
            <w:vAlign w:val="center"/>
          </w:tcPr>
          <w:p>
            <w:pPr>
              <w:pStyle w:val="Normal"/>
              <w:tabs>
                <w:tab w:val="clear" w:pos="720"/>
                <w:tab w:val="decimal" w:pos="567" w:leader="none"/>
              </w:tabs>
              <w:spacing w:before="36" w:after="36"/>
              <w:jc w:val="both"/>
              <w:rPr>
                <w:rFonts w:ascii="Arial" w:hAnsi="Arial" w:cs="Arial"/>
              </w:rPr>
            </w:pPr>
            <w:r>
              <w:rPr>
                <w:rFonts w:cs="Arial" w:ascii="Arial" w:hAnsi="Arial"/>
              </w:rPr>
              <w:t>43.2</w:t>
            </w:r>
          </w:p>
        </w:tc>
      </w:tr>
      <w:tr>
        <w:trPr>
          <w:trHeight w:val="480" w:hRule="atLeast"/>
        </w:trPr>
        <w:tc>
          <w:tcPr>
            <w:tcW w:w="2520" w:type="dxa"/>
            <w:tcBorders/>
          </w:tcPr>
          <w:p>
            <w:pPr>
              <w:pStyle w:val="Normal"/>
              <w:spacing w:before="36" w:after="216"/>
              <w:ind w:start="360" w:end="0"/>
              <w:rPr/>
            </w:pPr>
            <w:r>
              <w:rPr/>
              <w:t>High</w:t>
            </w:r>
          </w:p>
        </w:tc>
        <w:tc>
          <w:tcPr>
            <w:tcW w:w="990" w:type="dxa"/>
            <w:tcBorders/>
            <w:vAlign w:val="center"/>
          </w:tcPr>
          <w:p>
            <w:pPr>
              <w:pStyle w:val="Normal"/>
              <w:tabs>
                <w:tab w:val="clear" w:pos="720"/>
                <w:tab w:val="decimal" w:pos="567" w:leader="none"/>
              </w:tabs>
              <w:spacing w:before="36" w:after="216"/>
              <w:jc w:val="both"/>
              <w:rPr>
                <w:rFonts w:ascii="Arial" w:hAnsi="Arial" w:cs="Arial"/>
              </w:rPr>
            </w:pPr>
            <w:r>
              <w:rPr>
                <w:rFonts w:cs="Arial" w:ascii="Arial" w:hAnsi="Arial"/>
              </w:rPr>
              <w:t>NA</w:t>
            </w:r>
          </w:p>
        </w:tc>
        <w:tc>
          <w:tcPr>
            <w:tcW w:w="1350" w:type="dxa"/>
            <w:tcBorders/>
            <w:vAlign w:val="center"/>
          </w:tcPr>
          <w:p>
            <w:pPr>
              <w:pStyle w:val="Normal"/>
              <w:tabs>
                <w:tab w:val="clear" w:pos="720"/>
                <w:tab w:val="decimal" w:pos="567" w:leader="none"/>
              </w:tabs>
              <w:spacing w:before="36" w:after="216"/>
              <w:jc w:val="both"/>
              <w:rPr>
                <w:rFonts w:ascii="Arial" w:hAnsi="Arial" w:cs="Arial"/>
              </w:rPr>
            </w:pPr>
            <w:r>
              <w:rPr>
                <w:rFonts w:cs="Arial" w:ascii="Arial" w:hAnsi="Arial"/>
              </w:rPr>
              <w:t>192.2</w:t>
            </w:r>
          </w:p>
        </w:tc>
        <w:tc>
          <w:tcPr>
            <w:tcW w:w="1080" w:type="dxa"/>
            <w:tcBorders/>
            <w:vAlign w:val="center"/>
          </w:tcPr>
          <w:p>
            <w:pPr>
              <w:pStyle w:val="Normal"/>
              <w:tabs>
                <w:tab w:val="clear" w:pos="720"/>
                <w:tab w:val="decimal" w:pos="567" w:leader="none"/>
              </w:tabs>
              <w:spacing w:before="36" w:after="216"/>
              <w:jc w:val="both"/>
              <w:rPr>
                <w:rFonts w:ascii="Arial" w:hAnsi="Arial" w:cs="Arial"/>
              </w:rPr>
            </w:pPr>
            <w:r>
              <w:rPr>
                <w:rFonts w:cs="Arial" w:ascii="Arial" w:hAnsi="Arial"/>
              </w:rPr>
              <w:t>2,700.0</w:t>
            </w:r>
          </w:p>
        </w:tc>
        <w:tc>
          <w:tcPr>
            <w:tcW w:w="990" w:type="dxa"/>
            <w:tcBorders/>
            <w:vAlign w:val="center"/>
          </w:tcPr>
          <w:p>
            <w:pPr>
              <w:pStyle w:val="Normal"/>
              <w:tabs>
                <w:tab w:val="clear" w:pos="720"/>
                <w:tab w:val="decimal" w:pos="567" w:leader="none"/>
              </w:tabs>
              <w:spacing w:before="36" w:after="216"/>
              <w:jc w:val="both"/>
              <w:rPr>
                <w:rFonts w:ascii="Arial" w:hAnsi="Arial" w:cs="Arial"/>
              </w:rPr>
            </w:pPr>
            <w:r>
              <w:rPr>
                <w:rFonts w:cs="Arial" w:ascii="Arial" w:hAnsi="Arial"/>
              </w:rPr>
              <w:t>1,784.5</w:t>
            </w:r>
          </w:p>
        </w:tc>
      </w:tr>
      <w:tr>
        <w:trPr>
          <w:trHeight w:val="480" w:hRule="atLeast"/>
        </w:trPr>
        <w:tc>
          <w:tcPr>
            <w:tcW w:w="2520" w:type="dxa"/>
            <w:tcBorders>
              <w:bottom w:val="single" w:sz="4" w:space="0" w:color="000000"/>
            </w:tcBorders>
          </w:tcPr>
          <w:p>
            <w:pPr>
              <w:pStyle w:val="Normal"/>
              <w:spacing w:before="36" w:after="216"/>
              <w:ind w:start="360" w:end="0"/>
              <w:rPr/>
            </w:pPr>
            <w:r>
              <w:rPr/>
              <w:t>Average Summer</w:t>
            </w:r>
            <w:r>
              <w:rPr>
                <w:vertAlign w:val="superscript"/>
              </w:rPr>
              <w:t>2</w:t>
            </w:r>
            <w:r>
              <w:rPr/>
              <w:t xml:space="preserve"> Peak</w:t>
            </w:r>
          </w:p>
        </w:tc>
        <w:tc>
          <w:tcPr>
            <w:tcW w:w="990" w:type="dxa"/>
            <w:tcBorders>
              <w:bottom w:val="single" w:sz="4" w:space="0" w:color="000000"/>
            </w:tcBorders>
            <w:vAlign w:val="center"/>
          </w:tcPr>
          <w:p>
            <w:pPr>
              <w:pStyle w:val="Normal"/>
              <w:tabs>
                <w:tab w:val="clear" w:pos="720"/>
                <w:tab w:val="decimal" w:pos="567" w:leader="none"/>
              </w:tabs>
              <w:spacing w:before="36" w:after="216"/>
              <w:jc w:val="both"/>
              <w:rPr>
                <w:rFonts w:ascii="Arial" w:hAnsi="Arial" w:cs="Arial"/>
              </w:rPr>
            </w:pPr>
            <w:r>
              <w:rPr>
                <w:rFonts w:cs="Arial" w:ascii="Arial" w:hAnsi="Arial"/>
              </w:rPr>
              <w:t>NA</w:t>
            </w:r>
          </w:p>
        </w:tc>
        <w:tc>
          <w:tcPr>
            <w:tcW w:w="1350" w:type="dxa"/>
            <w:tcBorders>
              <w:bottom w:val="single" w:sz="4" w:space="0" w:color="000000"/>
            </w:tcBorders>
            <w:vAlign w:val="center"/>
          </w:tcPr>
          <w:p>
            <w:pPr>
              <w:pStyle w:val="Normal"/>
              <w:tabs>
                <w:tab w:val="clear" w:pos="720"/>
                <w:tab w:val="decimal" w:pos="567" w:leader="none"/>
              </w:tabs>
              <w:spacing w:before="36" w:after="216"/>
              <w:jc w:val="both"/>
              <w:rPr>
                <w:rFonts w:ascii="Arial" w:hAnsi="Arial" w:cs="Arial"/>
              </w:rPr>
            </w:pPr>
            <w:r>
              <w:rPr>
                <w:rFonts w:cs="Arial" w:ascii="Arial" w:hAnsi="Arial"/>
              </w:rPr>
              <w:t>31.3</w:t>
            </w:r>
          </w:p>
        </w:tc>
        <w:tc>
          <w:tcPr>
            <w:tcW w:w="1080" w:type="dxa"/>
            <w:tcBorders>
              <w:bottom w:val="single" w:sz="4" w:space="0" w:color="000000"/>
            </w:tcBorders>
            <w:vAlign w:val="center"/>
          </w:tcPr>
          <w:p>
            <w:pPr>
              <w:pStyle w:val="Normal"/>
              <w:tabs>
                <w:tab w:val="clear" w:pos="720"/>
                <w:tab w:val="decimal" w:pos="567" w:leader="none"/>
              </w:tabs>
              <w:spacing w:before="36" w:after="216"/>
              <w:jc w:val="both"/>
              <w:rPr>
                <w:rFonts w:ascii="Arial" w:hAnsi="Arial" w:cs="Arial"/>
              </w:rPr>
            </w:pPr>
            <w:r>
              <w:rPr>
                <w:rFonts w:cs="Arial" w:ascii="Arial" w:hAnsi="Arial"/>
              </w:rPr>
              <w:t>118.6</w:t>
            </w:r>
          </w:p>
        </w:tc>
        <w:tc>
          <w:tcPr>
            <w:tcW w:w="990" w:type="dxa"/>
            <w:tcBorders>
              <w:bottom w:val="single" w:sz="4" w:space="0" w:color="000000"/>
            </w:tcBorders>
            <w:vAlign w:val="center"/>
          </w:tcPr>
          <w:p>
            <w:pPr>
              <w:pStyle w:val="Normal"/>
              <w:tabs>
                <w:tab w:val="clear" w:pos="720"/>
                <w:tab w:val="decimal" w:pos="567" w:leader="none"/>
              </w:tabs>
              <w:spacing w:before="36" w:after="216"/>
              <w:jc w:val="both"/>
              <w:rPr>
                <w:rFonts w:ascii="Arial" w:hAnsi="Arial" w:cs="Arial"/>
              </w:rPr>
            </w:pPr>
            <w:r>
              <w:rPr>
                <w:rFonts w:cs="Arial" w:ascii="Arial" w:hAnsi="Arial"/>
              </w:rPr>
              <w:t>108.8</w:t>
            </w:r>
          </w:p>
        </w:tc>
      </w:tr>
    </w:tbl>
    <w:p>
      <w:pPr>
        <w:pStyle w:val="Normal"/>
        <w:rPr/>
      </w:pPr>
      <w:bookmarkStart w:id="3" w:name="scanchart"/>
      <w:bookmarkEnd w:id="3"/>
      <w:r>
        <w:rPr/>
        <w:t xml:space="preserve">           </w:t>
      </w:r>
      <w:r>
        <w:rPr>
          <w:vertAlign w:val="superscript"/>
        </w:rPr>
        <w:t>1</w:t>
      </w:r>
      <w:r>
        <w:rPr/>
        <w:t xml:space="preserve"> Includes weekday hours 6 through 22.</w:t>
      </w:r>
    </w:p>
    <w:p>
      <w:pPr>
        <w:pStyle w:val="Normal"/>
        <w:rPr/>
      </w:pPr>
      <w:r>
        <w:rPr/>
        <w:t xml:space="preserve">           </w:t>
      </w:r>
      <w:r>
        <w:rPr>
          <w:vertAlign w:val="superscript"/>
        </w:rPr>
        <w:t>2</w:t>
      </w:r>
      <w:r>
        <w:rPr/>
        <w:t xml:space="preserve"> Includes months June, July and August.</w:t>
      </w:r>
    </w:p>
    <w:p>
      <w:pPr>
        <w:pStyle w:val="Normal"/>
        <w:rPr/>
      </w:pPr>
      <w:r>
        <w:rPr/>
        <w:t xml:space="preserve">          </w:t>
      </w:r>
      <w:r>
        <w:rPr/>
        <w:t>Source: Power Market Week (PMW) weekly index and Megawatt Daily daily index.</w:t>
      </w:r>
    </w:p>
    <w:p>
      <w:pPr>
        <w:pStyle w:val="Normal"/>
        <w:rPr/>
      </w:pPr>
      <w:r>
        <w:rPr/>
      </w:r>
    </w:p>
    <w:p>
      <w:pPr>
        <w:pStyle w:val="A0b"/>
        <w:numPr>
          <w:ilvl w:val="0"/>
          <w:numId w:val="6"/>
        </w:numPr>
        <w:ind w:hanging="0" w:start="0"/>
        <w:rPr/>
      </w:pPr>
      <w:r>
        <w:rPr/>
        <w:t>While Midwest peak demand growth has been strong recently, capacity expansion has not kept pace.  This is attributable, in part, to both the excess capacity that followed tremendous capacity expansion in the 1980s and to the regulated structure of rate base expansion.  Over the last two years, the supply/demand balance for peak hours has tightened significantly, mainly due to nuclear shutdowns and lack of new construction.</w:t>
      </w:r>
    </w:p>
    <w:p>
      <w:pPr>
        <w:pStyle w:val="A0b"/>
        <w:numPr>
          <w:ilvl w:val="0"/>
          <w:numId w:val="6"/>
        </w:numPr>
        <w:ind w:hanging="0" w:start="0"/>
        <w:rPr/>
      </w:pPr>
      <w:r>
        <w:rPr/>
        <w:t xml:space="preserve">The progressive tightening of the capacity situation in ComEd/MAIN was reflected in the difference in the price spikes in 1997 and that in 1998 and 1999. The daily price index in the summer of 1997 reached as high as $192/MWh. </w:t>
      </w:r>
    </w:p>
    <w:p>
      <w:pPr>
        <w:pStyle w:val="A0b"/>
        <w:numPr>
          <w:ilvl w:val="0"/>
          <w:numId w:val="6"/>
        </w:numPr>
        <w:ind w:hanging="0" w:start="0"/>
        <w:rPr/>
      </w:pPr>
      <w:r>
        <w:rPr/>
        <w:t xml:space="preserve">The picture changed dramatically in the summer of 1998. Outages of key nuclear units led to daily prices reaching as high as $2,800/MWh in 1998 with hourly prices being reported to be as high as $7,000/MWh. </w:t>
      </w:r>
    </w:p>
    <w:p>
      <w:pPr>
        <w:pStyle w:val="A0b"/>
        <w:numPr>
          <w:ilvl w:val="0"/>
          <w:numId w:val="6"/>
        </w:numPr>
        <w:ind w:hanging="0" w:start="0"/>
        <w:rPr/>
      </w:pPr>
      <w:r>
        <w:rPr/>
        <w:t>Capacity situation in 1999 continued to be grim as higher than expected summer demand pushed daily prices as high as $2,168/MWh. MAIN as a whole reported peak demand at approximately 5 percent higher than forecasted, while many utilities reported peaks at about 10 percent higher than forecasted. ComEd region experienced extensive outages between late July and early August.</w:t>
      </w:r>
    </w:p>
    <w:p>
      <w:pPr>
        <w:pStyle w:val="A0b"/>
        <w:numPr>
          <w:ilvl w:val="0"/>
          <w:numId w:val="0"/>
        </w:numPr>
        <w:ind w:hanging="360" w:start="216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Ttl0"/>
        <w:keepNext w:val="true"/>
        <w:ind w:start="1440" w:end="0"/>
        <w:rPr/>
      </w:pPr>
      <w:r>
        <w:rPr/>
        <w:t xml:space="preserve">MAIN Weekly Indexes – Recent Price Spikes in MAIN </w:t>
      </w:r>
    </w:p>
    <w:p>
      <w:pPr>
        <w:pStyle w:val="Ttl0"/>
        <w:keepNext w:val="true"/>
        <w:ind w:start="1440" w:end="0"/>
        <w:rPr/>
      </w:pPr>
      <w:commentRangeStart w:id="12"/>
      <w:commentRangeEnd w:id="12"/>
      <w:r>
        <w:commentReference w:id="12"/>
      </w:r>
      <w:r>
        <w:drawing>
          <wp:anchor behindDoc="0" distT="0" distB="0" distL="114935" distR="114935" simplePos="0" locked="0" layoutInCell="0" allowOverlap="1" relativeHeight="24">
            <wp:simplePos x="0" y="0"/>
            <wp:positionH relativeFrom="column">
              <wp:posOffset>0</wp:posOffset>
            </wp:positionH>
            <wp:positionV relativeFrom="paragraph">
              <wp:posOffset>635</wp:posOffset>
            </wp:positionV>
            <wp:extent cx="5479415" cy="4107815"/>
            <wp:effectExtent l="0" t="0" r="0" b="0"/>
            <wp:wrapTopAndBottom/>
            <wp:docPr id="1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descr="" title=""/>
                    <pic:cNvPicPr>
                      <a:picLocks noChangeAspect="1" noChangeArrowheads="1"/>
                    </pic:cNvPicPr>
                  </pic:nvPicPr>
                  <pic:blipFill>
                    <a:blip r:embed="rId11"/>
                    <a:srcRect l="-4" t="-5" r="-4" b="-5"/>
                    <a:stretch>
                      <a:fillRect/>
                    </a:stretch>
                  </pic:blipFill>
                  <pic:spPr bwMode="auto">
                    <a:xfrm>
                      <a:off x="0" y="0"/>
                      <a:ext cx="5479415" cy="4107815"/>
                    </a:xfrm>
                    <a:prstGeom prst="rect">
                      <a:avLst/>
                    </a:prstGeom>
                    <a:noFill/>
                  </pic:spPr>
                </pic:pic>
              </a:graphicData>
            </a:graphic>
          </wp:anchor>
        </w:drawing>
      </w:r>
      <w:r>
        <w:rPr>
          <w:rStyle w:val="CommentReference"/>
          <w:b/>
          <w:vanish w:val="false"/>
        </w:rPr>
        <w:commentReference w:id="13"/>
      </w:r>
    </w:p>
    <w:p>
      <w:pPr>
        <w:pStyle w:val="Normal"/>
        <w:tabs>
          <w:tab w:val="clear" w:pos="720"/>
          <w:tab w:val="left" w:pos="5040" w:leader="none"/>
        </w:tabs>
        <w:spacing w:before="120" w:after="0"/>
        <w:rPr>
          <w:sz w:val="16"/>
        </w:rPr>
      </w:pPr>
      <w:r>
        <w:rPr/>
        <w:t xml:space="preserve">             </w:t>
      </w:r>
      <w:r>
        <w:rPr/>
        <w:t>Source: Power Markets Week.</w:t>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SecRN0"/>
        <w:ind w:hanging="0" w:start="0" w:end="0"/>
        <w:rPr/>
      </w:pPr>
      <w:r>
        <w:rPr/>
        <w:t>IV.</w:t>
        <w:tab/>
        <w:t xml:space="preserve">EAST CENTRAL AREA RELIABILITY COORDINATION AGREEMENT AREA (“ECAR”) </w:t>
      </w:r>
    </w:p>
    <w:p>
      <w:pPr>
        <w:pStyle w:val="HdLet0"/>
        <w:rPr/>
      </w:pPr>
      <w:r>
        <w:rPr/>
        <w:t>A.</w:t>
        <w:tab/>
        <w:t xml:space="preserve">ECAR Regional Overview </w:t>
      </w:r>
    </w:p>
    <w:p>
      <w:pPr>
        <w:pStyle w:val="A0b"/>
        <w:numPr>
          <w:ilvl w:val="0"/>
          <w:numId w:val="6"/>
        </w:numPr>
        <w:spacing w:before="100" w:after="360"/>
        <w:ind w:hanging="0" w:start="0"/>
        <w:rPr/>
      </w:pPr>
      <w:r>
        <w:rPr/>
        <w:t>ECAR covers all or portions of Indiana, Kentucky, Michigan, Ohio, Pennsylvania, Virginia, Maryland, and West Virginia.</w:t>
      </w:r>
    </w:p>
    <w:p>
      <w:pPr>
        <w:pStyle w:val="Hidden"/>
        <w:rPr/>
      </w:pPr>
      <w:r>
        <w:rPr/>
        <w:t>k:\adobe\tif_april\enron\....tif,gif,jpg</w:t>
      </w:r>
    </w:p>
    <w:tbl>
      <w:tblPr>
        <w:tblW w:w="8100" w:type="dxa"/>
        <w:jc w:val="start"/>
        <w:tblInd w:w="1548" w:type="dxa"/>
        <w:tblLayout w:type="fixed"/>
        <w:tblCellMar>
          <w:top w:w="0" w:type="dxa"/>
          <w:start w:w="108" w:type="dxa"/>
          <w:bottom w:w="0" w:type="dxa"/>
          <w:end w:w="108" w:type="dxa"/>
        </w:tblCellMar>
      </w:tblPr>
      <w:tblGrid>
        <w:gridCol w:w="8100"/>
      </w:tblGrid>
      <w:tr>
        <w:trPr/>
        <w:tc>
          <w:tcPr>
            <w:tcW w:w="8100" w:type="dxa"/>
            <w:tcBorders>
              <w:top w:val="single" w:sz="4" w:space="0" w:color="000000"/>
              <w:start w:val="single" w:sz="4" w:space="0" w:color="000000"/>
              <w:bottom w:val="single" w:sz="4" w:space="0" w:color="000000"/>
              <w:end w:val="single" w:sz="4" w:space="0" w:color="000000"/>
            </w:tcBorders>
          </w:tcPr>
          <w:p>
            <w:pPr>
              <w:pStyle w:val="Normal"/>
              <w:ind w:start="-108" w:end="0"/>
              <w:jc w:val="center"/>
              <w:rPr>
                <w:rFonts w:ascii="Arial Bold" w:hAnsi="Arial Bold" w:cs="Arial Bold"/>
              </w:rPr>
            </w:pPr>
            <w:r>
              <w:rPr>
                <w:rFonts w:cs="Arial Bold" w:ascii="Arial Bold" w:hAnsi="Arial Bold"/>
                <w:b/>
              </w:rPr>
              <w:drawing>
                <wp:inline distT="0" distB="0" distL="0" distR="0">
                  <wp:extent cx="5143500" cy="3917315"/>
                  <wp:effectExtent l="0" t="0" r="0" b="0"/>
                  <wp:docPr id="13" name="3%20copy"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0copy" descr="" title=""/>
                          <pic:cNvPicPr>
                            <a:picLocks noChangeAspect="1" noChangeArrowheads="1"/>
                          </pic:cNvPicPr>
                        </pic:nvPicPr>
                        <pic:blipFill>
                          <a:blip r:embed="rId12"/>
                          <a:srcRect l="-3" t="-4" r="-3" b="-136"/>
                          <a:stretch>
                            <a:fillRect/>
                          </a:stretch>
                        </pic:blipFill>
                        <pic:spPr bwMode="auto">
                          <a:xfrm>
                            <a:off x="0" y="0"/>
                            <a:ext cx="5143500" cy="3917315"/>
                          </a:xfrm>
                          <a:prstGeom prst="rect">
                            <a:avLst/>
                          </a:prstGeom>
                          <a:noFill/>
                        </pic:spPr>
                      </pic:pic>
                    </a:graphicData>
                  </a:graphic>
                </wp:inline>
              </w:drawing>
            </w:r>
          </w:p>
        </w:tc>
      </w:tr>
    </w:tbl>
    <w:p>
      <w:pPr>
        <w:pStyle w:val="Normal"/>
        <w:ind w:start="1440" w:end="0"/>
        <w:rPr>
          <w:sz w:val="24"/>
        </w:rPr>
      </w:pPr>
      <w:r>
        <w:rPr>
          <w:sz w:val="24"/>
        </w:rPr>
      </w:r>
    </w:p>
    <w:p>
      <w:pPr>
        <w:pStyle w:val="A0b"/>
        <w:numPr>
          <w:ilvl w:val="0"/>
          <w:numId w:val="6"/>
        </w:numPr>
        <w:ind w:hanging="0" w:start="0"/>
        <w:rPr/>
      </w:pPr>
      <w:r>
        <w:rPr/>
        <w:t>ECAR is not a centrally dispatched or “tight” power pool.  Several sub-areas of ECAR have historically operated on a tight basis.  These include the American Electric Power System (“AEP”), the Allegheny Power System (“APS”), and the Michigan Electric Coordinated System (“MECS”).  Although total sales for individual utilities such as AEP are significant, ECAR is not dominated by one or more utilities.  Competition is further augmented by ECAR’s extensive transmission which allows for large amounts of imports and exports.</w:t>
      </w:r>
    </w:p>
    <w:p>
      <w:pPr>
        <w:pStyle w:val="A0b"/>
        <w:numPr>
          <w:ilvl w:val="0"/>
          <w:numId w:val="6"/>
        </w:numPr>
        <w:ind w:hanging="0" w:start="0"/>
        <w:rPr/>
      </w:pPr>
      <w:r>
        <w:rPr/>
        <w:t>Laws concerning deregulation have been passed in Ohio, Virginia, West Virginia and Maryland. These states require full retail access by January 2004 at the latest. Kentucky has decided not to pursue any legislation requiring deregulation in 2000, citing its low cost of power. A deregulation bill in the Indiana legislature was defeated in 1999 due to opposition from utilities, labor and environmental groups.</w:t>
      </w:r>
    </w:p>
    <w:p>
      <w:pPr>
        <w:pStyle w:val="A0b"/>
        <w:numPr>
          <w:ilvl w:val="0"/>
          <w:numId w:val="6"/>
        </w:numPr>
        <w:ind w:hanging="0" w:start="0"/>
        <w:rPr/>
      </w:pPr>
      <w:r>
        <w:rPr/>
        <w:t>There has not been much in the way of asset divestiture in ECAR with the exception of Duquesne in Pennsylvania. Most of the deregulation legislation in the states in the region does not require divestiture.  Both Ohio and West Virginia require all generating assets belonging to a utility to be transferred to a separate unregulated subsidiary by 2005.</w:t>
      </w:r>
    </w:p>
    <w:p>
      <w:pPr>
        <w:pStyle w:val="A0b"/>
        <w:numPr>
          <w:ilvl w:val="0"/>
          <w:numId w:val="0"/>
        </w:numPr>
        <w:ind w:hanging="0" w:start="1800" w:end="0"/>
        <w:rPr/>
      </w:pPr>
      <w:r>
        <w:rPr/>
      </w:r>
    </w:p>
    <w:p>
      <w:pPr>
        <w:pStyle w:val="Sub0"/>
        <w:keepLines/>
        <w:spacing w:before="240" w:after="0"/>
        <w:rPr/>
      </w:pPr>
      <w:r>
        <w:rPr/>
        <w:t>ECAR Market Size – 2000</w:t>
      </w:r>
    </w:p>
    <w:tbl>
      <w:tblPr>
        <w:tblW w:w="6300" w:type="dxa"/>
        <w:jc w:val="start"/>
        <w:tblInd w:w="1440" w:type="dxa"/>
        <w:tblLayout w:type="fixed"/>
        <w:tblCellMar>
          <w:top w:w="0" w:type="dxa"/>
          <w:start w:w="0" w:type="dxa"/>
          <w:bottom w:w="0" w:type="dxa"/>
          <w:end w:w="0" w:type="dxa"/>
        </w:tblCellMar>
      </w:tblPr>
      <w:tblGrid>
        <w:gridCol w:w="3825"/>
        <w:gridCol w:w="2475"/>
      </w:tblGrid>
      <w:tr>
        <w:trPr/>
        <w:tc>
          <w:tcPr>
            <w:tcW w:w="3825"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c>
          <w:tcPr>
            <w:tcW w:w="2475"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r>
      <w:tr>
        <w:trPr/>
        <w:tc>
          <w:tcPr>
            <w:tcW w:w="3825" w:type="dxa"/>
            <w:tcBorders/>
          </w:tcPr>
          <w:p>
            <w:pPr>
              <w:pStyle w:val="T0"/>
              <w:keepNext w:val="true"/>
              <w:keepLines/>
              <w:spacing w:before="216" w:after="36"/>
              <w:rPr>
                <w:vertAlign w:val="superscript"/>
              </w:rPr>
            </w:pPr>
            <w:r>
              <w:rPr/>
              <w:t>Total Installed Capacity</w:t>
            </w:r>
          </w:p>
        </w:tc>
        <w:tc>
          <w:tcPr>
            <w:tcW w:w="2475" w:type="dxa"/>
            <w:tcBorders/>
          </w:tcPr>
          <w:p>
            <w:pPr>
              <w:pStyle w:val="Normal"/>
              <w:keepNext w:val="true"/>
              <w:keepLines/>
              <w:tabs>
                <w:tab w:val="clear" w:pos="720"/>
                <w:tab w:val="decimal" w:pos="1123" w:leader="none"/>
              </w:tabs>
              <w:spacing w:before="216" w:after="36"/>
              <w:ind w:start="45" w:end="0"/>
              <w:rPr/>
            </w:pPr>
            <w:r>
              <w:rPr/>
              <w:t>110 GW</w:t>
            </w:r>
          </w:p>
        </w:tc>
      </w:tr>
      <w:tr>
        <w:trPr/>
        <w:tc>
          <w:tcPr>
            <w:tcW w:w="3825" w:type="dxa"/>
            <w:tcBorders/>
          </w:tcPr>
          <w:p>
            <w:pPr>
              <w:pStyle w:val="Normal"/>
              <w:keepNext w:val="true"/>
              <w:keepLines/>
              <w:spacing w:before="36" w:after="36"/>
              <w:rPr>
                <w:vertAlign w:val="superscript"/>
              </w:rPr>
            </w:pPr>
            <w:r>
              <w:rPr/>
              <w:t>Peak Load</w:t>
            </w:r>
          </w:p>
        </w:tc>
        <w:tc>
          <w:tcPr>
            <w:tcW w:w="2475" w:type="dxa"/>
            <w:tcBorders/>
          </w:tcPr>
          <w:p>
            <w:pPr>
              <w:pStyle w:val="Normal"/>
              <w:keepNext w:val="true"/>
              <w:keepLines/>
              <w:tabs>
                <w:tab w:val="clear" w:pos="720"/>
                <w:tab w:val="decimal" w:pos="1123" w:leader="none"/>
              </w:tabs>
              <w:spacing w:before="36" w:after="36"/>
              <w:ind w:start="45" w:end="0"/>
              <w:rPr/>
            </w:pPr>
            <w:r>
              <w:rPr/>
              <w:t>93 GW</w:t>
            </w:r>
          </w:p>
        </w:tc>
      </w:tr>
      <w:tr>
        <w:trPr/>
        <w:tc>
          <w:tcPr>
            <w:tcW w:w="3825" w:type="dxa"/>
            <w:tcBorders/>
          </w:tcPr>
          <w:p>
            <w:pPr>
              <w:pStyle w:val="Normal"/>
              <w:keepNext w:val="true"/>
              <w:keepLines/>
              <w:spacing w:before="36" w:after="36"/>
              <w:rPr>
                <w:vertAlign w:val="superscript"/>
              </w:rPr>
            </w:pPr>
            <w:r>
              <w:rPr/>
              <w:t>Capacity Within One Wheel</w:t>
            </w:r>
          </w:p>
        </w:tc>
        <w:tc>
          <w:tcPr>
            <w:tcW w:w="2475" w:type="dxa"/>
            <w:tcBorders/>
          </w:tcPr>
          <w:p>
            <w:pPr>
              <w:pStyle w:val="Normal"/>
              <w:keepNext w:val="true"/>
              <w:keepLines/>
              <w:tabs>
                <w:tab w:val="clear" w:pos="720"/>
                <w:tab w:val="decimal" w:pos="1123" w:leader="none"/>
              </w:tabs>
              <w:spacing w:before="36" w:after="36"/>
              <w:ind w:start="45" w:end="0"/>
              <w:rPr/>
            </w:pPr>
            <w:r>
              <w:rPr/>
              <w:t>375 GW</w:t>
            </w:r>
          </w:p>
        </w:tc>
      </w:tr>
      <w:tr>
        <w:trPr/>
        <w:tc>
          <w:tcPr>
            <w:tcW w:w="3825" w:type="dxa"/>
            <w:tcBorders/>
          </w:tcPr>
          <w:p>
            <w:pPr>
              <w:pStyle w:val="Normal"/>
              <w:keepNext w:val="true"/>
              <w:keepLines/>
              <w:spacing w:before="36" w:after="36"/>
              <w:rPr>
                <w:vertAlign w:val="superscript"/>
              </w:rPr>
            </w:pPr>
            <w:r>
              <w:rPr/>
              <w:t>Import Capability</w:t>
            </w:r>
          </w:p>
        </w:tc>
        <w:tc>
          <w:tcPr>
            <w:tcW w:w="2475" w:type="dxa"/>
            <w:tcBorders/>
          </w:tcPr>
          <w:p>
            <w:pPr>
              <w:pStyle w:val="Normal"/>
              <w:keepNext w:val="true"/>
              <w:keepLines/>
              <w:tabs>
                <w:tab w:val="clear" w:pos="720"/>
                <w:tab w:val="decimal" w:pos="1123" w:leader="none"/>
              </w:tabs>
              <w:spacing w:before="36" w:after="36"/>
              <w:ind w:start="45" w:end="0"/>
              <w:rPr/>
            </w:pPr>
            <w:r>
              <w:rPr/>
              <w:t>17 GW</w:t>
            </w:r>
          </w:p>
        </w:tc>
      </w:tr>
      <w:tr>
        <w:trPr/>
        <w:tc>
          <w:tcPr>
            <w:tcW w:w="3825" w:type="dxa"/>
            <w:tcBorders/>
          </w:tcPr>
          <w:p>
            <w:pPr>
              <w:pStyle w:val="Normal"/>
              <w:keepNext w:val="true"/>
              <w:keepLines/>
              <w:spacing w:before="36" w:after="36"/>
              <w:rPr>
                <w:vertAlign w:val="superscript"/>
              </w:rPr>
            </w:pPr>
            <w:r>
              <w:rPr/>
              <w:t>Export Capability</w:t>
            </w:r>
          </w:p>
        </w:tc>
        <w:tc>
          <w:tcPr>
            <w:tcW w:w="2475" w:type="dxa"/>
            <w:tcBorders/>
          </w:tcPr>
          <w:p>
            <w:pPr>
              <w:pStyle w:val="Normal"/>
              <w:keepNext w:val="true"/>
              <w:keepLines/>
              <w:tabs>
                <w:tab w:val="clear" w:pos="720"/>
                <w:tab w:val="decimal" w:pos="1123" w:leader="none"/>
              </w:tabs>
              <w:spacing w:before="36" w:after="36"/>
              <w:ind w:start="45" w:end="0"/>
              <w:rPr/>
            </w:pPr>
            <w:r>
              <w:rPr/>
              <w:t>10 GW</w:t>
            </w:r>
          </w:p>
        </w:tc>
      </w:tr>
      <w:tr>
        <w:trPr/>
        <w:tc>
          <w:tcPr>
            <w:tcW w:w="3825" w:type="dxa"/>
            <w:tcBorders/>
          </w:tcPr>
          <w:p>
            <w:pPr>
              <w:pStyle w:val="Normal"/>
              <w:keepNext w:val="true"/>
              <w:keepLines/>
              <w:spacing w:before="36" w:after="36"/>
              <w:rPr>
                <w:vertAlign w:val="superscript"/>
              </w:rPr>
            </w:pPr>
            <w:r>
              <w:rPr/>
              <w:t>Net Annual Energy for load</w:t>
            </w:r>
          </w:p>
        </w:tc>
        <w:tc>
          <w:tcPr>
            <w:tcW w:w="2475" w:type="dxa"/>
            <w:tcBorders/>
          </w:tcPr>
          <w:p>
            <w:pPr>
              <w:pStyle w:val="Normal"/>
              <w:keepNext w:val="true"/>
              <w:keepLines/>
              <w:tabs>
                <w:tab w:val="clear" w:pos="720"/>
                <w:tab w:val="decimal" w:pos="1123" w:leader="none"/>
              </w:tabs>
              <w:spacing w:before="36" w:after="36"/>
              <w:ind w:start="45" w:end="0"/>
              <w:rPr/>
            </w:pPr>
            <w:r>
              <w:rPr/>
              <w:t>569,713 GWh</w:t>
            </w:r>
          </w:p>
        </w:tc>
      </w:tr>
      <w:tr>
        <w:trPr/>
        <w:tc>
          <w:tcPr>
            <w:tcW w:w="3825" w:type="dxa"/>
            <w:tcBorders/>
          </w:tcPr>
          <w:p>
            <w:pPr>
              <w:pStyle w:val="Normal"/>
              <w:keepNext w:val="true"/>
              <w:keepLines/>
              <w:spacing w:before="36" w:after="36"/>
              <w:rPr>
                <w:vertAlign w:val="superscript"/>
              </w:rPr>
            </w:pPr>
            <w:r>
              <w:rPr/>
              <w:t>Average Demand</w:t>
            </w:r>
          </w:p>
        </w:tc>
        <w:tc>
          <w:tcPr>
            <w:tcW w:w="2475" w:type="dxa"/>
            <w:tcBorders/>
          </w:tcPr>
          <w:p>
            <w:pPr>
              <w:pStyle w:val="Normal"/>
              <w:keepNext w:val="true"/>
              <w:keepLines/>
              <w:tabs>
                <w:tab w:val="clear" w:pos="720"/>
                <w:tab w:val="decimal" w:pos="1123" w:leader="none"/>
              </w:tabs>
              <w:spacing w:before="36" w:after="36"/>
              <w:ind w:start="45" w:end="0"/>
              <w:rPr/>
            </w:pPr>
            <w:r>
              <w:rPr/>
              <w:t>65 GW</w:t>
            </w:r>
          </w:p>
        </w:tc>
      </w:tr>
      <w:tr>
        <w:trPr/>
        <w:tc>
          <w:tcPr>
            <w:tcW w:w="3825" w:type="dxa"/>
            <w:tcBorders>
              <w:bottom w:val="single" w:sz="6" w:space="0" w:color="000000"/>
            </w:tcBorders>
          </w:tcPr>
          <w:p>
            <w:pPr>
              <w:pStyle w:val="Normal"/>
              <w:keepNext w:val="true"/>
              <w:keepLines/>
              <w:spacing w:before="36" w:after="216"/>
              <w:rPr>
                <w:vertAlign w:val="superscript"/>
              </w:rPr>
            </w:pPr>
            <w:r>
              <w:rPr/>
              <w:t>Net Exports</w:t>
            </w:r>
          </w:p>
        </w:tc>
        <w:tc>
          <w:tcPr>
            <w:tcW w:w="2475" w:type="dxa"/>
            <w:tcBorders>
              <w:bottom w:val="single" w:sz="6" w:space="0" w:color="000000"/>
            </w:tcBorders>
          </w:tcPr>
          <w:p>
            <w:pPr>
              <w:pStyle w:val="Normal"/>
              <w:keepNext w:val="true"/>
              <w:keepLines/>
              <w:tabs>
                <w:tab w:val="clear" w:pos="720"/>
                <w:tab w:val="decimal" w:pos="1123" w:leader="none"/>
              </w:tabs>
              <w:spacing w:before="36" w:after="216"/>
              <w:ind w:start="45" w:end="0"/>
              <w:rPr/>
            </w:pPr>
            <w:r>
              <w:rPr/>
              <w:t xml:space="preserve"> </w:t>
            </w:r>
            <w:r>
              <w:rPr/>
              <w:t>32,030GWh</w:t>
            </w:r>
          </w:p>
        </w:tc>
      </w:tr>
    </w:tbl>
    <w:p>
      <w:pPr>
        <w:pStyle w:val="Normal"/>
        <w:ind w:start="1440" w:end="0"/>
        <w:rPr/>
      </w:pPr>
      <w:r>
        <w:rPr/>
        <w:t>Source ICF Base Case Forecasts for 2000</w:t>
      </w:r>
    </w:p>
    <w:p>
      <w:pPr>
        <w:pStyle w:val="Normal"/>
        <w:ind w:start="1440" w:end="0"/>
        <w:rPr/>
      </w:pPr>
      <w:r>
        <w:rPr/>
      </w:r>
    </w:p>
    <w:p>
      <w:pPr>
        <w:pStyle w:val="HdLet0"/>
        <w:rPr/>
      </w:pPr>
      <w:r>
        <w:rPr/>
        <w:t>B.</w:t>
        <w:tab/>
        <w:t xml:space="preserve">ECAR Capacity Mix </w:t>
      </w:r>
    </w:p>
    <w:p>
      <w:pPr>
        <w:pStyle w:val="A0b"/>
        <w:numPr>
          <w:ilvl w:val="0"/>
          <w:numId w:val="6"/>
        </w:numPr>
        <w:ind w:hanging="0" w:start="0"/>
        <w:rPr/>
      </w:pPr>
      <w:r>
        <w:rPr/>
        <w:t>ECAR is heavily dominated by coal with some nuclear generating capacity.  Combined coal and nuclear in 1997 accounted for 86% of total capacity and 95% of total generation.</w:t>
      </w:r>
    </w:p>
    <w:p>
      <w:pPr>
        <w:pStyle w:val="Sub0"/>
        <w:ind w:start="81" w:end="0"/>
        <w:rPr/>
      </w:pPr>
      <w:r>
        <w:rPr/>
        <w:t>ECAR Capacity and Generation Mix – 2000</w:t>
      </w:r>
    </w:p>
    <w:tbl>
      <w:tblPr>
        <w:tblW w:w="9987" w:type="dxa"/>
        <w:jc w:val="start"/>
        <w:tblInd w:w="198" w:type="dxa"/>
        <w:tblLayout w:type="fixed"/>
        <w:tblCellMar>
          <w:top w:w="0" w:type="dxa"/>
          <w:start w:w="108" w:type="dxa"/>
          <w:bottom w:w="0" w:type="dxa"/>
          <w:end w:w="108" w:type="dxa"/>
        </w:tblCellMar>
      </w:tblPr>
      <w:tblGrid>
        <w:gridCol w:w="4853"/>
        <w:gridCol w:w="281"/>
        <w:gridCol w:w="4853"/>
      </w:tblGrid>
      <w:tr>
        <w:trPr/>
        <w:tc>
          <w:tcPr>
            <w:tcW w:w="4853"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rFonts w:ascii="Arial Bold" w:hAnsi="Arial Bold" w:cs="Arial Bold"/>
                <w:b/>
                <w:color w:val="FFFFFF"/>
                <w:sz w:val="24"/>
              </w:rPr>
            </w:pPr>
            <w:r>
              <w:rPr>
                <w:rFonts w:cs="Arial Bold" w:ascii="Arial Bold" w:hAnsi="Arial Bold"/>
                <w:b/>
                <w:color w:val="FFFFFF"/>
                <w:sz w:val="24"/>
              </w:rPr>
              <w:t>CAPACITY</w:t>
            </w:r>
          </w:p>
        </w:tc>
        <w:tc>
          <w:tcPr>
            <w:tcW w:w="281" w:type="dxa"/>
            <w:tcBorders/>
          </w:tcPr>
          <w:p>
            <w:pPr>
              <w:pStyle w:val="Normal"/>
              <w:snapToGrid w:val="false"/>
              <w:spacing w:before="120" w:after="120"/>
              <w:jc w:val="center"/>
              <w:rPr>
                <w:rFonts w:ascii="Arial Bold" w:hAnsi="Arial Bold" w:cs="Arial Bold"/>
                <w:b/>
                <w:color w:val="FFFFFF"/>
                <w:sz w:val="24"/>
              </w:rPr>
            </w:pPr>
            <w:r>
              <w:rPr>
                <w:rFonts w:cs="Arial Bold" w:ascii="Arial Bold" w:hAnsi="Arial Bold"/>
                <w:b/>
                <w:color w:val="FFFFFF"/>
                <w:sz w:val="24"/>
              </w:rPr>
            </w:r>
          </w:p>
        </w:tc>
        <w:tc>
          <w:tcPr>
            <w:tcW w:w="4853"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pPr>
            <w:r>
              <w:rPr/>
              <w:t>GENERATION</w:t>
            </w:r>
          </w:p>
        </w:tc>
      </w:tr>
      <w:tr>
        <w:trPr/>
        <w:tc>
          <w:tcPr>
            <w:tcW w:w="4853" w:type="dxa"/>
            <w:tcBorders>
              <w:start w:val="single" w:sz="6" w:space="0" w:color="000000"/>
              <w:end w:val="single" w:sz="6" w:space="0" w:color="000000"/>
            </w:tcBorders>
          </w:tcPr>
          <w:p>
            <w:pPr>
              <w:pStyle w:val="Normal"/>
              <w:keepNext w:val="true"/>
              <w:rPr/>
            </w:pPr>
            <w:r>
              <w:rPr>
                <w:sz w:val="16"/>
              </w:rPr>
              <w:drawing>
                <wp:inline distT="0" distB="0" distL="0" distR="0">
                  <wp:extent cx="2947035" cy="2095500"/>
                  <wp:effectExtent l="0" t="0" r="0" b="0"/>
                  <wp:docPr id="14"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descr="" title=""/>
                          <pic:cNvPicPr>
                            <a:picLocks noChangeAspect="1" noChangeArrowheads="1"/>
                          </pic:cNvPicPr>
                        </pic:nvPicPr>
                        <pic:blipFill>
                          <a:blip r:embed="rId13"/>
                          <a:srcRect l="-6" t="-12" r="-6" b="-12"/>
                          <a:stretch>
                            <a:fillRect/>
                          </a:stretch>
                        </pic:blipFill>
                        <pic:spPr bwMode="auto">
                          <a:xfrm>
                            <a:off x="0" y="0"/>
                            <a:ext cx="2947035" cy="2095500"/>
                          </a:xfrm>
                          <a:prstGeom prst="rect">
                            <a:avLst/>
                          </a:prstGeom>
                          <a:noFill/>
                        </pic:spPr>
                      </pic:pic>
                    </a:graphicData>
                  </a:graphic>
                </wp:inline>
              </w:drawing>
            </w:r>
            <w:hyperlink r:id="rId14">
              <w:r>
                <w:rPr>
                  <w:rStyle w:val="Hyperlink"/>
                  <w:vanish/>
                  <w:sz w:val="16"/>
                </w:rPr>
                <w:t>\\snyc14207\ProjFin\yellen\990920095.xls!ECAR Capacity 1997</w:t>
              </w:r>
            </w:hyperlink>
            <w:r>
              <w:rPr>
                <w:vanish/>
                <w:color w:val="FF0000"/>
                <w:sz w:val="16"/>
              </w:rPr>
              <w:t xml:space="preserve"> Height: 2.45" Width: 2.83"</w:t>
            </w:r>
          </w:p>
          <w:p>
            <w:pPr>
              <w:pStyle w:val="Normal"/>
              <w:rPr>
                <w:vanish/>
                <w:color w:val="FF0000"/>
                <w:sz w:val="16"/>
              </w:rPr>
            </w:pPr>
            <w:r>
              <w:rPr>
                <w:vanish/>
                <w:color w:val="FF0000"/>
                <w:sz w:val="16"/>
              </w:rPr>
            </w:r>
          </w:p>
        </w:tc>
        <w:tc>
          <w:tcPr>
            <w:tcW w:w="281" w:type="dxa"/>
            <w:tcBorders/>
          </w:tcPr>
          <w:p>
            <w:pPr>
              <w:pStyle w:val="Hidden"/>
              <w:snapToGrid w:val="false"/>
              <w:jc w:val="center"/>
              <w:rPr>
                <w:vanish w:val="false"/>
              </w:rPr>
            </w:pPr>
            <w:r>
              <w:rPr>
                <w:vanish w:val="false"/>
              </w:rPr>
            </w:r>
          </w:p>
        </w:tc>
        <w:tc>
          <w:tcPr>
            <w:tcW w:w="4853" w:type="dxa"/>
            <w:tcBorders>
              <w:start w:val="single" w:sz="6" w:space="0" w:color="000000"/>
              <w:end w:val="single" w:sz="6" w:space="0" w:color="000000"/>
            </w:tcBorders>
          </w:tcPr>
          <w:p>
            <w:pPr>
              <w:pStyle w:val="Normal"/>
              <w:keepNext w:val="true"/>
              <w:rPr/>
            </w:pPr>
            <w:hyperlink r:id="rId15">
              <w:r>
                <w:rPr>
                  <w:rStyle w:val="Hyperlink"/>
                  <w:vanish/>
                  <w:sz w:val="16"/>
                </w:rPr>
                <w:t>\\snyc14207\ProjFin\yellen\990920095.xls!ECAR Generation 1997</w:t>
              </w:r>
            </w:hyperlink>
            <w:r>
              <w:rPr>
                <w:vanish/>
                <w:color w:val="FF0000"/>
                <w:sz w:val="16"/>
              </w:rPr>
              <w:t xml:space="preserve"> Height: 2.32" Width: 2.55"</w:t>
            </w:r>
          </w:p>
          <w:p>
            <w:pPr>
              <w:pStyle w:val="Normal"/>
              <w:rPr/>
            </w:pPr>
            <w:r>
              <w:rPr/>
              <w:drawing>
                <wp:inline distT="0" distB="0" distL="0" distR="0">
                  <wp:extent cx="2947670" cy="2005330"/>
                  <wp:effectExtent l="0" t="0" r="0" b="0"/>
                  <wp:docPr id="15"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 descr="" title=""/>
                          <pic:cNvPicPr>
                            <a:picLocks noChangeAspect="1" noChangeArrowheads="1"/>
                          </pic:cNvPicPr>
                        </pic:nvPicPr>
                        <pic:blipFill>
                          <a:blip r:embed="rId16"/>
                          <a:srcRect l="-6" t="-9" r="-6" b="-9"/>
                          <a:stretch>
                            <a:fillRect/>
                          </a:stretch>
                        </pic:blipFill>
                        <pic:spPr bwMode="auto">
                          <a:xfrm>
                            <a:off x="0" y="0"/>
                            <a:ext cx="2947670" cy="2005330"/>
                          </a:xfrm>
                          <a:prstGeom prst="rect">
                            <a:avLst/>
                          </a:prstGeom>
                          <a:noFill/>
                        </pic:spPr>
                      </pic:pic>
                    </a:graphicData>
                  </a:graphic>
                </wp:inline>
              </w:drawing>
            </w:r>
            <w:r>
              <w:rPr>
                <w:rStyle w:val="CommentReference"/>
                <w:vanish w:val="false"/>
              </w:rPr>
              <w:commentReference w:id="14"/>
            </w:r>
          </w:p>
        </w:tc>
      </w:tr>
      <w:tr>
        <w:trPr/>
        <w:tc>
          <w:tcPr>
            <w:tcW w:w="4853" w:type="dxa"/>
            <w:tcBorders>
              <w:top w:val="single" w:sz="6" w:space="0" w:color="000000"/>
            </w:tcBorders>
          </w:tcPr>
          <w:p>
            <w:pPr>
              <w:pStyle w:val="T0"/>
              <w:spacing w:before="60" w:after="0"/>
              <w:jc w:val="center"/>
              <w:rPr>
                <w:b/>
              </w:rPr>
            </w:pPr>
            <w:r>
              <w:rPr>
                <w:b/>
              </w:rPr>
              <w:t>Total Capacity = 110 GW</w:t>
            </w:r>
          </w:p>
        </w:tc>
        <w:tc>
          <w:tcPr>
            <w:tcW w:w="281" w:type="dxa"/>
            <w:tcBorders/>
          </w:tcPr>
          <w:p>
            <w:pPr>
              <w:pStyle w:val="Heading2"/>
              <w:snapToGrid w:val="false"/>
              <w:spacing w:before="60" w:after="0"/>
              <w:ind w:hanging="0" w:start="0"/>
              <w:rPr>
                <w:b/>
              </w:rPr>
            </w:pPr>
            <w:r>
              <w:rPr>
                <w:b/>
              </w:rPr>
            </w:r>
          </w:p>
        </w:tc>
        <w:tc>
          <w:tcPr>
            <w:tcW w:w="4853" w:type="dxa"/>
            <w:tcBorders>
              <w:top w:val="single" w:sz="6" w:space="0" w:color="000000"/>
            </w:tcBorders>
          </w:tcPr>
          <w:p>
            <w:pPr>
              <w:pStyle w:val="Heading2"/>
              <w:spacing w:before="60" w:after="0"/>
              <w:ind w:hanging="0" w:start="0"/>
              <w:rPr/>
            </w:pPr>
            <w:r>
              <w:rPr/>
              <w:t>Total Generation = 602 BkWh</w:t>
            </w:r>
          </w:p>
        </w:tc>
      </w:tr>
    </w:tbl>
    <w:p>
      <w:pPr>
        <w:pStyle w:val="Tnl0"/>
        <w:tabs>
          <w:tab w:val="left" w:pos="720" w:leader="none"/>
        </w:tabs>
        <w:spacing w:before="120" w:after="0"/>
        <w:ind w:hanging="634" w:end="0"/>
        <w:rPr/>
      </w:pPr>
      <w:r>
        <w:rPr/>
        <w:t xml:space="preserve">Source: </w:t>
      </w:r>
      <w:r>
        <w:rPr>
          <w:i w:val="false"/>
        </w:rPr>
        <w:t>ICF Base Case Forecast for the year 2000.</w:t>
      </w:r>
    </w:p>
    <w:p>
      <w:pPr>
        <w:pStyle w:val="Tnl0"/>
        <w:tabs>
          <w:tab w:val="left" w:pos="720" w:leader="none"/>
        </w:tabs>
        <w:ind w:hanging="634" w:end="0"/>
        <w:rPr/>
      </w:pPr>
      <w:r>
        <w:rPr/>
        <w:t>Note:  Totals may not add due to rounding</w:t>
      </w:r>
      <w:r>
        <w:rPr>
          <w:rStyle w:val="CommentReference"/>
          <w:vanish w:val="false"/>
        </w:rPr>
        <w:commentReference w:id="15"/>
      </w:r>
      <w:r>
        <w:rPr>
          <w:rStyle w:val="CommentReference"/>
          <w:vanish/>
        </w:rPr>
        <w:t xml:space="preserve">er.. . </w:t>
      </w:r>
      <w:r>
        <w:rPr/>
        <w:t xml:space="preserve"> errors. The difference between the total generation depicted in the pie chart and the Net Energy</w:t>
      </w:r>
    </w:p>
    <w:p>
      <w:pPr>
        <w:sectPr>
          <w:headerReference w:type="default" r:id="rId17"/>
          <w:headerReference w:type="first" r:id="rId18"/>
          <w:type w:val="nextPage"/>
          <w:pgSz w:w="12240" w:h="15840"/>
          <w:pgMar w:left="1440" w:right="720" w:gutter="0" w:header="720" w:top="1560" w:footer="0" w:bottom="1296"/>
          <w:pgNumType w:fmt="decimal"/>
          <w:formProt w:val="false"/>
          <w:textDirection w:val="lrTb"/>
          <w:docGrid w:type="default" w:linePitch="360" w:charSpace="0"/>
        </w:sectPr>
        <w:pStyle w:val="Tnl0"/>
        <w:tabs>
          <w:tab w:val="left" w:pos="720" w:leader="none"/>
        </w:tabs>
        <w:ind w:hanging="634" w:end="0"/>
        <w:rPr>
          <w:i w:val="false"/>
          <w:i w:val="false"/>
        </w:rPr>
      </w:pPr>
      <w:r>
        <w:rPr/>
        <w:t>for load in the Table is due to net exports from ECAR.</w:t>
      </w:r>
    </w:p>
    <w:p>
      <w:pPr>
        <w:pStyle w:val="HdLet0"/>
        <w:rPr/>
      </w:pPr>
      <w:r>
        <w:rPr/>
        <w:t>C.</w:t>
        <w:tab/>
        <w:t>ECAR Transmission Overview</w:t>
      </w:r>
    </w:p>
    <w:p>
      <w:pPr>
        <w:pStyle w:val="A0"/>
        <w:keepNext w:val="true"/>
        <w:rPr/>
      </w:pPr>
      <w:r>
        <w:rPr/>
        <w:t>While there is considerable transmission capability within ECAR, the connections with the rest of the Northeast are somewhat limited.</w:t>
      </w:r>
    </w:p>
    <w:p>
      <w:pPr>
        <w:pStyle w:val="A0"/>
        <w:keepNext w:val="true"/>
        <w:keepLines/>
        <w:rPr>
          <w:b/>
        </w:rPr>
      </w:pPr>
      <w:r>
        <w:rPr>
          <w:b/>
        </w:rPr>
        <w:t>Inter-Regional Transmission</w:t>
      </w:r>
    </w:p>
    <w:p>
      <w:pPr>
        <w:pStyle w:val="A0"/>
        <w:keepNext w:val="true"/>
        <w:rPr/>
      </w:pPr>
      <w:r>
        <w:rPr/>
        <w:t>The primary interconnections between ECAR and neighboring systems consist of:</w:t>
      </w:r>
    </w:p>
    <w:p>
      <w:pPr>
        <w:pStyle w:val="B0bbox"/>
        <w:numPr>
          <w:ilvl w:val="0"/>
          <w:numId w:val="9"/>
        </w:numPr>
        <w:rPr/>
      </w:pPr>
      <w:r>
        <w:rPr/>
        <w:t>Two 500 kV interconnections in southwestern PJM with APS in ECAR.</w:t>
      </w:r>
    </w:p>
    <w:p>
      <w:pPr>
        <w:pStyle w:val="B0bbox"/>
        <w:numPr>
          <w:ilvl w:val="0"/>
          <w:numId w:val="9"/>
        </w:numPr>
        <w:rPr/>
      </w:pPr>
      <w:r>
        <w:rPr/>
        <w:t>Two 345 kV interconnections in northwestern PJM with Centerior in ECAR.</w:t>
      </w:r>
    </w:p>
    <w:p>
      <w:pPr>
        <w:pStyle w:val="B0bbox"/>
        <w:numPr>
          <w:ilvl w:val="0"/>
          <w:numId w:val="9"/>
        </w:numPr>
        <w:rPr/>
      </w:pPr>
      <w:r>
        <w:rPr/>
        <w:t>Two 345 kV interconnections with Ontario in MECS.</w:t>
      </w:r>
    </w:p>
    <w:p>
      <w:pPr>
        <w:pStyle w:val="B0bbox"/>
        <w:numPr>
          <w:ilvl w:val="0"/>
          <w:numId w:val="9"/>
        </w:numPr>
        <w:rPr/>
      </w:pPr>
      <w:r>
        <w:rPr/>
        <w:t>Four 500 kV interconnections with VEPCO and one 500 kV interconnection with Duke in VACAR.</w:t>
      </w:r>
    </w:p>
    <w:p>
      <w:pPr>
        <w:pStyle w:val="B0bbox"/>
        <w:numPr>
          <w:ilvl w:val="0"/>
          <w:numId w:val="9"/>
        </w:numPr>
        <w:rPr/>
      </w:pPr>
      <w:r>
        <w:rPr/>
        <w:t>Two 500 kV interconnections with TVA.</w:t>
      </w:r>
    </w:p>
    <w:p>
      <w:pPr>
        <w:pStyle w:val="B0bbox"/>
        <w:numPr>
          <w:ilvl w:val="0"/>
          <w:numId w:val="9"/>
        </w:numPr>
        <w:rPr/>
      </w:pPr>
      <w:r>
        <w:rPr/>
        <w:t>One 765 kV and several 345 kV interconnections with MAIN (primarily at Commonwealth Edison).</w:t>
      </w:r>
    </w:p>
    <w:p>
      <w:pPr>
        <w:pStyle w:val="A0"/>
        <w:keepNext w:val="true"/>
        <w:rPr>
          <w:b/>
        </w:rPr>
      </w:pPr>
      <w:r>
        <w:object w:dxaOrig="14400" w:dyaOrig="10800">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position:absolute;margin-left:57.6pt;margin-top:22.2pt;width:359.25pt;height:211.7pt;mso-wrap-distance-left:9.05pt;mso-wrap-distance-right:9.05pt;mso-position-horizontal-relative:text;mso-position-vertical-relative:text" filled="f" o:ole="">
            <v:imagedata r:id="rId20" o:title=""/>
            <w10:wrap type="topAndBottom"/>
          </v:shape>
          <o:OLEObject Type="Embed" ProgID="PowerPoint.Show.12" ShapeID="ole_rId19" DrawAspect="Content" ObjectID="_1756205184" r:id="rId19"/>
        </w:object>
      </w:r>
      <w:r>
        <w:rPr>
          <w:b/>
        </w:rPr>
        <w:t>Intra-Regional Transmission</w:t>
      </w:r>
    </w:p>
    <w:p>
      <w:pPr>
        <w:pStyle w:val="A0"/>
        <w:keepNext w:val="true"/>
        <w:rPr>
          <w:rFonts w:ascii="Arial Bold" w:hAnsi="Arial Bold" w:cs="Arial Bold"/>
          <w:b/>
          <w:vanish/>
          <w:color w:val="FF0000"/>
          <w:sz w:val="18"/>
        </w:rPr>
      </w:pPr>
      <w:bookmarkStart w:id="4" w:name="scanmap2"/>
      <w:bookmarkEnd w:id="4"/>
      <w:r>
        <w:rPr>
          <w:rFonts w:cs="Arial Bold" w:ascii="Arial Bold" w:hAnsi="Arial Bold"/>
          <w:b/>
          <w:vanish/>
          <w:color w:val="FF0000"/>
          <w:sz w:val="18"/>
        </w:rPr>
        <w:t>K:\Adobe\tif-April\scanmap.tif</w:t>
      </w:r>
    </w:p>
    <w:p>
      <w:pPr>
        <w:pStyle w:val="Normal"/>
        <w:ind w:start="1440" w:end="0"/>
        <w:rPr>
          <w:rFonts w:ascii="Arial Bold" w:hAnsi="Arial Bold" w:cs="Arial Bold"/>
          <w:b/>
          <w:vanish/>
          <w:color w:val="FF0000"/>
          <w:sz w:val="18"/>
        </w:rPr>
      </w:pPr>
      <w:r>
        <w:rPr>
          <w:rFonts w:cs="Arial Bold" w:ascii="Arial Bold" w:hAnsi="Arial Bold"/>
          <w:b/>
          <w:vanish/>
          <w:color w:val="FF0000"/>
          <w:sz w:val="18"/>
        </w:rPr>
      </w:r>
    </w:p>
    <w:p>
      <w:pPr>
        <w:pStyle w:val="A0b"/>
        <w:numPr>
          <w:ilvl w:val="0"/>
          <w:numId w:val="6"/>
        </w:numPr>
        <w:ind w:hanging="0" w:start="0"/>
        <w:rPr/>
      </w:pPr>
      <w:r>
        <w:rPr/>
        <w:t>Southern ECAR has extensive transmission interconnections including AEP's 765 kV line, the largest in the U.S.  MECS is well integrated on an internal basis but is not connected with AEP's 765 kV line.</w:t>
      </w:r>
    </w:p>
    <w:p>
      <w:pPr>
        <w:sectPr>
          <w:headerReference w:type="default" r:id="rId21"/>
          <w:headerReference w:type="first" r:id="rId22"/>
          <w:type w:val="nextPage"/>
          <w:pgSz w:w="12240" w:h="15840"/>
          <w:pgMar w:left="1440" w:right="720" w:gutter="0" w:header="720" w:top="1560" w:footer="0" w:bottom="1296"/>
          <w:pgNumType w:fmt="decimal"/>
          <w:formProt w:val="false"/>
          <w:textDirection w:val="lrTb"/>
          <w:docGrid w:type="default" w:linePitch="360" w:charSpace="0"/>
        </w:sectPr>
        <w:pStyle w:val="Normal"/>
        <w:ind w:start="1440" w:end="0"/>
        <w:rPr/>
      </w:pPr>
      <w:r>
        <w:rPr/>
      </w:r>
    </w:p>
    <w:p>
      <w:pPr>
        <w:pStyle w:val="HdLet0"/>
        <w:rPr/>
      </w:pPr>
      <w:r>
        <w:rPr/>
        <w:t>D.</w:t>
        <w:tab/>
        <w:t>ECAR Historical Prices</w:t>
      </w:r>
    </w:p>
    <w:p>
      <w:pPr>
        <w:pStyle w:val="A0b"/>
        <w:numPr>
          <w:ilvl w:val="0"/>
          <w:numId w:val="6"/>
        </w:numPr>
        <w:ind w:hanging="0" w:start="0"/>
        <w:rPr/>
      </w:pPr>
      <w:r>
        <w:rPr/>
        <w:t>Electrical energy prices in ECAR have historically been lower than neighboring regions to the East, especially the Northeast, but higher than MAPP and MAIN.</w:t>
      </w:r>
    </w:p>
    <w:p>
      <w:pPr>
        <w:pStyle w:val="B0bbox"/>
        <w:numPr>
          <w:ilvl w:val="0"/>
          <w:numId w:val="9"/>
        </w:numPr>
        <w:rPr/>
      </w:pPr>
      <w:r>
        <w:rPr/>
        <w:t>While ECAR has significant coal capacity as part of its supply mix, delivered coal costs in this region are higher than in MAIN and MAPP.  Due to ECAR’s geographic location, ECAR has relatively easy access to high cost Appalachian coal but is fairly remote from the cheaper Powder River Basin coals, which adds to delivered cost due to transportation.</w:t>
      </w:r>
    </w:p>
    <w:p>
      <w:pPr>
        <w:pStyle w:val="B0bbox"/>
        <w:numPr>
          <w:ilvl w:val="0"/>
          <w:numId w:val="0"/>
        </w:numPr>
        <w:ind w:hanging="0" w:start="0"/>
        <w:rPr/>
      </w:pPr>
      <w:r>
        <w:rPr/>
      </w:r>
    </w:p>
    <w:tbl>
      <w:tblPr>
        <w:tblW w:w="7142" w:type="dxa"/>
        <w:jc w:val="start"/>
        <w:tblInd w:w="1440" w:type="dxa"/>
        <w:tblLayout w:type="fixed"/>
        <w:tblCellMar>
          <w:top w:w="0" w:type="dxa"/>
          <w:start w:w="0" w:type="dxa"/>
          <w:bottom w:w="0" w:type="dxa"/>
          <w:end w:w="0" w:type="dxa"/>
        </w:tblCellMar>
      </w:tblPr>
      <w:tblGrid>
        <w:gridCol w:w="3110"/>
        <w:gridCol w:w="1008"/>
        <w:gridCol w:w="1008"/>
        <w:gridCol w:w="1008"/>
        <w:gridCol w:w="1003"/>
        <w:gridCol w:w="5"/>
      </w:tblGrid>
      <w:tr>
        <w:trPr/>
        <w:tc>
          <w:tcPr>
            <w:tcW w:w="7137" w:type="dxa"/>
            <w:gridSpan w:val="5"/>
            <w:tcBorders/>
          </w:tcPr>
          <w:p>
            <w:pPr>
              <w:pStyle w:val="Ttel1"/>
              <w:keepNext w:val="true"/>
              <w:spacing w:before="0" w:after="0"/>
              <w:rPr>
                <w:b w:val="false"/>
                <w:i/>
                <w:i/>
                <w:sz w:val="18"/>
              </w:rPr>
            </w:pPr>
            <w:r>
              <w:rPr/>
              <w:t xml:space="preserve">ECAR Historical Energy Prices </w:t>
              <w:br/>
            </w:r>
            <w:r>
              <w:rPr>
                <w:i/>
                <w:sz w:val="24"/>
              </w:rPr>
              <w:t>(1998$/MWh)</w:t>
            </w:r>
          </w:p>
        </w:tc>
      </w:tr>
      <w:tr>
        <w:trPr/>
        <w:tc>
          <w:tcPr>
            <w:tcW w:w="3110" w:type="dxa"/>
            <w:tcBorders>
              <w:top w:val="single" w:sz="18" w:space="0" w:color="000000"/>
            </w:tcBorders>
            <w:vAlign w:val="bottom"/>
          </w:tcPr>
          <w:p>
            <w:pPr>
              <w:pStyle w:val="TableHeadings"/>
              <w:keepNext w:val="true"/>
              <w:snapToGrid w:val="false"/>
              <w:spacing w:before="36" w:after="36"/>
              <w:rPr>
                <w:b w:val="false"/>
                <w:i/>
                <w:i/>
                <w:sz w:val="18"/>
              </w:rPr>
            </w:pPr>
            <w:r>
              <w:rPr>
                <w:b w:val="false"/>
                <w:i/>
                <w:sz w:val="18"/>
              </w:rPr>
            </w:r>
          </w:p>
        </w:tc>
        <w:tc>
          <w:tcPr>
            <w:tcW w:w="4032" w:type="dxa"/>
            <w:gridSpan w:val="4"/>
            <w:tcBorders>
              <w:top w:val="single" w:sz="18" w:space="0" w:color="000000"/>
            </w:tcBorders>
            <w:vAlign w:val="bottom"/>
          </w:tcPr>
          <w:p>
            <w:pPr>
              <w:pStyle w:val="TableHeadings"/>
              <w:keepNext w:val="true"/>
              <w:pBdr>
                <w:bottom w:val="single" w:sz="4" w:space="1" w:color="000000"/>
              </w:pBdr>
              <w:spacing w:before="36" w:after="36"/>
              <w:ind w:start="288" w:end="288"/>
              <w:rPr/>
            </w:pPr>
            <w:r>
              <w:rPr/>
              <w:t>Historical</w:t>
            </w:r>
          </w:p>
        </w:tc>
      </w:tr>
      <w:tr>
        <w:trPr/>
        <w:tc>
          <w:tcPr>
            <w:tcW w:w="3110" w:type="dxa"/>
            <w:tcBorders>
              <w:bottom w:val="single" w:sz="4" w:space="0" w:color="000000"/>
            </w:tcBorders>
            <w:vAlign w:val="bottom"/>
          </w:tcPr>
          <w:p>
            <w:pPr>
              <w:pStyle w:val="Normal"/>
              <w:keepNext w:val="true"/>
              <w:snapToGrid w:val="false"/>
              <w:spacing w:before="36" w:after="36"/>
              <w:rPr>
                <w:caps/>
                <w:sz w:val="16"/>
              </w:rPr>
            </w:pPr>
            <w:r>
              <w:rPr>
                <w:caps/>
                <w:sz w:val="16"/>
              </w:rPr>
            </w:r>
          </w:p>
        </w:tc>
        <w:tc>
          <w:tcPr>
            <w:tcW w:w="1008" w:type="dxa"/>
            <w:tcBorders>
              <w:bottom w:val="single" w:sz="4" w:space="0" w:color="000000"/>
            </w:tcBorders>
            <w:vAlign w:val="bottom"/>
          </w:tcPr>
          <w:p>
            <w:pPr>
              <w:pStyle w:val="Normal"/>
              <w:keepNext w:val="true"/>
              <w:spacing w:before="36" w:after="36"/>
              <w:jc w:val="center"/>
              <w:rPr>
                <w:sz w:val="16"/>
              </w:rPr>
            </w:pPr>
            <w:r>
              <w:rPr>
                <w:sz w:val="16"/>
              </w:rPr>
              <w:t>1996</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1997</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1998</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1999</w:t>
            </w:r>
          </w:p>
        </w:tc>
      </w:tr>
      <w:tr>
        <w:trPr>
          <w:trHeight w:val="465" w:hRule="atLeast"/>
        </w:trPr>
        <w:tc>
          <w:tcPr>
            <w:tcW w:w="3110" w:type="dxa"/>
            <w:tcBorders/>
          </w:tcPr>
          <w:p>
            <w:pPr>
              <w:pStyle w:val="T0"/>
              <w:keepNext w:val="true"/>
              <w:spacing w:before="36" w:after="36"/>
              <w:rPr/>
            </w:pPr>
            <w:r>
              <w:rPr/>
              <w:t>PMW– Northern ECAR</w:t>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r>
      <w:tr>
        <w:trPr>
          <w:trHeight w:val="465"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Normal"/>
              <w:keepNext w:val="true"/>
              <w:tabs>
                <w:tab w:val="clear" w:pos="720"/>
                <w:tab w:val="decimal" w:pos="619" w:leader="none"/>
              </w:tabs>
              <w:spacing w:before="36" w:after="36"/>
              <w:rPr/>
            </w:pPr>
            <w:r>
              <w:rPr/>
              <w:t>23.5</w:t>
            </w:r>
          </w:p>
        </w:tc>
        <w:tc>
          <w:tcPr>
            <w:tcW w:w="1008" w:type="dxa"/>
            <w:tcBorders/>
          </w:tcPr>
          <w:p>
            <w:pPr>
              <w:pStyle w:val="Normal"/>
              <w:keepNext w:val="true"/>
              <w:tabs>
                <w:tab w:val="clear" w:pos="720"/>
                <w:tab w:val="decimal" w:pos="619" w:leader="none"/>
              </w:tabs>
              <w:spacing w:before="36" w:after="36"/>
              <w:rPr/>
            </w:pPr>
            <w:r>
              <w:rPr/>
              <w:t>24.8</w:t>
            </w:r>
          </w:p>
        </w:tc>
        <w:tc>
          <w:tcPr>
            <w:tcW w:w="1008" w:type="dxa"/>
            <w:tcBorders/>
          </w:tcPr>
          <w:p>
            <w:pPr>
              <w:pStyle w:val="Normal"/>
              <w:keepNext w:val="true"/>
              <w:tabs>
                <w:tab w:val="clear" w:pos="720"/>
                <w:tab w:val="decimal" w:pos="619" w:leader="none"/>
              </w:tabs>
              <w:spacing w:before="36" w:after="36"/>
              <w:rPr/>
            </w:pPr>
            <w:r>
              <w:rPr/>
              <w:t>56.3</w:t>
            </w:r>
          </w:p>
        </w:tc>
        <w:tc>
          <w:tcPr>
            <w:tcW w:w="1008" w:type="dxa"/>
            <w:tcBorders/>
          </w:tcPr>
          <w:p>
            <w:pPr>
              <w:pStyle w:val="Normal"/>
              <w:keepNext w:val="true"/>
              <w:tabs>
                <w:tab w:val="clear" w:pos="720"/>
                <w:tab w:val="decimal" w:pos="619" w:leader="none"/>
              </w:tabs>
              <w:spacing w:before="36" w:after="36"/>
              <w:rPr/>
            </w:pPr>
            <w:r>
              <w:rPr/>
              <w:t>43.5</w:t>
            </w:r>
          </w:p>
        </w:tc>
      </w:tr>
      <w:tr>
        <w:trPr>
          <w:trHeight w:val="465" w:hRule="atLeast"/>
        </w:trPr>
        <w:tc>
          <w:tcPr>
            <w:tcW w:w="3110" w:type="dxa"/>
            <w:tcBorders/>
          </w:tcPr>
          <w:p>
            <w:pPr>
              <w:pStyle w:val="Normal"/>
              <w:keepNext w:val="true"/>
              <w:spacing w:before="36" w:after="36"/>
              <w:ind w:start="360" w:end="0"/>
              <w:rPr/>
            </w:pPr>
            <w:r>
              <w:rPr/>
              <w:t>High</w:t>
            </w:r>
          </w:p>
        </w:tc>
        <w:tc>
          <w:tcPr>
            <w:tcW w:w="1008" w:type="dxa"/>
            <w:tcBorders/>
          </w:tcPr>
          <w:p>
            <w:pPr>
              <w:pStyle w:val="Normal"/>
              <w:keepNext w:val="true"/>
              <w:tabs>
                <w:tab w:val="clear" w:pos="720"/>
                <w:tab w:val="decimal" w:pos="619" w:leader="none"/>
              </w:tabs>
              <w:spacing w:before="36" w:after="36"/>
              <w:rPr/>
            </w:pPr>
            <w:r>
              <w:rPr/>
              <w:t>40.3</w:t>
            </w:r>
          </w:p>
        </w:tc>
        <w:tc>
          <w:tcPr>
            <w:tcW w:w="1008" w:type="dxa"/>
            <w:tcBorders/>
          </w:tcPr>
          <w:p>
            <w:pPr>
              <w:pStyle w:val="Normal"/>
              <w:keepNext w:val="true"/>
              <w:tabs>
                <w:tab w:val="clear" w:pos="720"/>
                <w:tab w:val="decimal" w:pos="619" w:leader="none"/>
              </w:tabs>
              <w:spacing w:before="36" w:after="36"/>
              <w:rPr/>
            </w:pPr>
            <w:r>
              <w:rPr/>
              <w:t>139.8</w:t>
            </w:r>
          </w:p>
        </w:tc>
        <w:tc>
          <w:tcPr>
            <w:tcW w:w="1008" w:type="dxa"/>
            <w:tcBorders/>
          </w:tcPr>
          <w:p>
            <w:pPr>
              <w:pStyle w:val="Normal"/>
              <w:keepNext w:val="true"/>
              <w:tabs>
                <w:tab w:val="clear" w:pos="720"/>
                <w:tab w:val="decimal" w:pos="619" w:leader="none"/>
              </w:tabs>
              <w:spacing w:before="36" w:after="36"/>
              <w:rPr/>
            </w:pPr>
            <w:r>
              <w:rPr/>
              <w:t>656.0</w:t>
            </w:r>
          </w:p>
        </w:tc>
        <w:tc>
          <w:tcPr>
            <w:tcW w:w="1008" w:type="dxa"/>
            <w:tcBorders/>
          </w:tcPr>
          <w:p>
            <w:pPr>
              <w:pStyle w:val="Normal"/>
              <w:keepNext w:val="true"/>
              <w:tabs>
                <w:tab w:val="clear" w:pos="720"/>
                <w:tab w:val="decimal" w:pos="619" w:leader="none"/>
              </w:tabs>
              <w:spacing w:before="36" w:after="36"/>
              <w:rPr/>
            </w:pPr>
            <w:r>
              <w:rPr/>
              <w:t>609.2</w:t>
            </w:r>
          </w:p>
        </w:tc>
      </w:tr>
      <w:tr>
        <w:trPr>
          <w:trHeight w:val="465" w:hRule="atLeast"/>
        </w:trPr>
        <w:tc>
          <w:tcPr>
            <w:tcW w:w="3110" w:type="dxa"/>
            <w:tcBorders/>
          </w:tcPr>
          <w:p>
            <w:pPr>
              <w:pStyle w:val="T0"/>
              <w:keepNext w:val="true"/>
              <w:spacing w:before="36" w:after="36"/>
              <w:rPr/>
            </w:pPr>
            <w:r>
              <w:rPr>
                <w:rFonts w:eastAsia="Arial"/>
              </w:rPr>
              <w:t xml:space="preserve">      </w:t>
            </w:r>
            <w:r>
              <w:rPr/>
              <w:t>Average Summer</w:t>
            </w:r>
            <w:r>
              <w:rPr>
                <w:vertAlign w:val="superscript"/>
              </w:rPr>
              <w:t>2</w:t>
            </w:r>
            <w:r>
              <w:rPr/>
              <w:t xml:space="preserve"> Peak</w:t>
            </w:r>
          </w:p>
        </w:tc>
        <w:tc>
          <w:tcPr>
            <w:tcW w:w="1008" w:type="dxa"/>
            <w:tcBorders/>
          </w:tcPr>
          <w:p>
            <w:pPr>
              <w:pStyle w:val="Normal"/>
              <w:keepNext w:val="true"/>
              <w:tabs>
                <w:tab w:val="clear" w:pos="720"/>
                <w:tab w:val="decimal" w:pos="619" w:leader="none"/>
              </w:tabs>
              <w:spacing w:before="36" w:after="36"/>
              <w:rPr/>
            </w:pPr>
            <w:r>
              <w:rPr/>
              <w:t>27.3</w:t>
            </w:r>
          </w:p>
        </w:tc>
        <w:tc>
          <w:tcPr>
            <w:tcW w:w="1008" w:type="dxa"/>
            <w:tcBorders/>
          </w:tcPr>
          <w:p>
            <w:pPr>
              <w:pStyle w:val="Normal"/>
              <w:keepNext w:val="true"/>
              <w:tabs>
                <w:tab w:val="clear" w:pos="720"/>
                <w:tab w:val="decimal" w:pos="619" w:leader="none"/>
              </w:tabs>
              <w:spacing w:before="36" w:after="36"/>
              <w:rPr/>
            </w:pPr>
            <w:r>
              <w:rPr/>
              <w:t>37.0</w:t>
            </w:r>
          </w:p>
        </w:tc>
        <w:tc>
          <w:tcPr>
            <w:tcW w:w="1008" w:type="dxa"/>
            <w:tcBorders/>
          </w:tcPr>
          <w:p>
            <w:pPr>
              <w:pStyle w:val="Normal"/>
              <w:keepNext w:val="true"/>
              <w:tabs>
                <w:tab w:val="clear" w:pos="720"/>
                <w:tab w:val="decimal" w:pos="619" w:leader="none"/>
              </w:tabs>
              <w:spacing w:before="36" w:after="36"/>
              <w:rPr/>
            </w:pPr>
            <w:r>
              <w:rPr/>
              <w:t>146.1</w:t>
            </w:r>
          </w:p>
        </w:tc>
        <w:tc>
          <w:tcPr>
            <w:tcW w:w="1008" w:type="dxa"/>
            <w:tcBorders/>
          </w:tcPr>
          <w:p>
            <w:pPr>
              <w:pStyle w:val="Normal"/>
              <w:keepNext w:val="true"/>
              <w:tabs>
                <w:tab w:val="clear" w:pos="720"/>
                <w:tab w:val="decimal" w:pos="619" w:leader="none"/>
              </w:tabs>
              <w:spacing w:before="36" w:after="36"/>
              <w:rPr/>
            </w:pPr>
            <w:r>
              <w:rPr/>
              <w:t>108.2</w:t>
            </w:r>
          </w:p>
        </w:tc>
      </w:tr>
      <w:tr>
        <w:trPr>
          <w:trHeight w:val="465" w:hRule="atLeast"/>
        </w:trPr>
        <w:tc>
          <w:tcPr>
            <w:tcW w:w="3110" w:type="dxa"/>
            <w:tcBorders/>
          </w:tcPr>
          <w:p>
            <w:pPr>
              <w:pStyle w:val="T0"/>
              <w:keepNext w:val="true"/>
              <w:spacing w:before="36" w:after="36"/>
              <w:rPr/>
            </w:pPr>
            <w:r>
              <w:rPr/>
              <w:t>PMW–Into Cinergy</w:t>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r>
      <w:tr>
        <w:trPr>
          <w:trHeight w:val="465"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Normal"/>
              <w:keepNext w:val="true"/>
              <w:tabs>
                <w:tab w:val="clear" w:pos="720"/>
                <w:tab w:val="decimal" w:pos="742" w:leader="none"/>
              </w:tabs>
              <w:spacing w:before="36" w:after="36"/>
              <w:rPr/>
            </w:pPr>
            <w:r>
              <w:rPr/>
              <w:t>NA</w:t>
            </w:r>
          </w:p>
        </w:tc>
        <w:tc>
          <w:tcPr>
            <w:tcW w:w="1008" w:type="dxa"/>
            <w:tcBorders/>
          </w:tcPr>
          <w:p>
            <w:pPr>
              <w:pStyle w:val="Normal"/>
              <w:keepNext w:val="true"/>
              <w:tabs>
                <w:tab w:val="clear" w:pos="720"/>
                <w:tab w:val="decimal" w:pos="619" w:leader="none"/>
              </w:tabs>
              <w:spacing w:before="36" w:after="36"/>
              <w:rPr/>
            </w:pPr>
            <w:r>
              <w:rPr/>
              <w:t>24.5</w:t>
            </w:r>
          </w:p>
        </w:tc>
        <w:tc>
          <w:tcPr>
            <w:tcW w:w="1008" w:type="dxa"/>
            <w:tcBorders/>
          </w:tcPr>
          <w:p>
            <w:pPr>
              <w:pStyle w:val="Normal"/>
              <w:keepNext w:val="true"/>
              <w:tabs>
                <w:tab w:val="clear" w:pos="720"/>
                <w:tab w:val="decimal" w:pos="619" w:leader="none"/>
              </w:tabs>
              <w:spacing w:before="36" w:after="36"/>
              <w:rPr/>
            </w:pPr>
            <w:r>
              <w:rPr/>
              <w:t>56.4</w:t>
            </w:r>
          </w:p>
        </w:tc>
        <w:tc>
          <w:tcPr>
            <w:tcW w:w="1008" w:type="dxa"/>
            <w:tcBorders/>
          </w:tcPr>
          <w:p>
            <w:pPr>
              <w:pStyle w:val="Normal"/>
              <w:keepNext w:val="true"/>
              <w:tabs>
                <w:tab w:val="clear" w:pos="720"/>
                <w:tab w:val="decimal" w:pos="619" w:leader="none"/>
              </w:tabs>
              <w:spacing w:before="36" w:after="36"/>
              <w:rPr/>
            </w:pPr>
            <w:r>
              <w:rPr/>
              <w:t>50.5</w:t>
            </w:r>
          </w:p>
        </w:tc>
      </w:tr>
      <w:tr>
        <w:trPr>
          <w:trHeight w:val="465" w:hRule="atLeast"/>
        </w:trPr>
        <w:tc>
          <w:tcPr>
            <w:tcW w:w="3110" w:type="dxa"/>
            <w:tcBorders/>
          </w:tcPr>
          <w:p>
            <w:pPr>
              <w:pStyle w:val="Normal"/>
              <w:keepNext w:val="true"/>
              <w:spacing w:before="36" w:after="216"/>
              <w:ind w:start="360" w:end="0"/>
              <w:rPr/>
            </w:pPr>
            <w:r>
              <w:rPr/>
              <w:t>High</w:t>
            </w:r>
          </w:p>
        </w:tc>
        <w:tc>
          <w:tcPr>
            <w:tcW w:w="1008" w:type="dxa"/>
            <w:tcBorders/>
          </w:tcPr>
          <w:p>
            <w:pPr>
              <w:pStyle w:val="T0"/>
              <w:keepNext w:val="true"/>
              <w:tabs>
                <w:tab w:val="clear" w:pos="720"/>
                <w:tab w:val="decimal" w:pos="742" w:leader="none"/>
              </w:tabs>
              <w:spacing w:before="36" w:after="216"/>
              <w:rPr/>
            </w:pPr>
            <w:r>
              <w:rPr/>
              <w:t>NA</w:t>
            </w:r>
          </w:p>
        </w:tc>
        <w:tc>
          <w:tcPr>
            <w:tcW w:w="1008" w:type="dxa"/>
            <w:tcBorders/>
          </w:tcPr>
          <w:p>
            <w:pPr>
              <w:pStyle w:val="Normal"/>
              <w:keepNext w:val="true"/>
              <w:tabs>
                <w:tab w:val="clear" w:pos="720"/>
                <w:tab w:val="decimal" w:pos="619" w:leader="none"/>
              </w:tabs>
              <w:spacing w:before="36" w:after="216"/>
              <w:rPr/>
            </w:pPr>
            <w:r>
              <w:rPr/>
              <w:t>138.4</w:t>
            </w:r>
          </w:p>
        </w:tc>
        <w:tc>
          <w:tcPr>
            <w:tcW w:w="1008" w:type="dxa"/>
            <w:tcBorders/>
          </w:tcPr>
          <w:p>
            <w:pPr>
              <w:pStyle w:val="Normal"/>
              <w:keepNext w:val="true"/>
              <w:tabs>
                <w:tab w:val="clear" w:pos="720"/>
                <w:tab w:val="decimal" w:pos="619" w:leader="none"/>
              </w:tabs>
              <w:spacing w:before="36" w:after="216"/>
              <w:rPr/>
            </w:pPr>
            <w:r>
              <w:rPr/>
              <w:t>656.0</w:t>
            </w:r>
          </w:p>
        </w:tc>
        <w:tc>
          <w:tcPr>
            <w:tcW w:w="1008" w:type="dxa"/>
            <w:tcBorders/>
          </w:tcPr>
          <w:p>
            <w:pPr>
              <w:pStyle w:val="Normal"/>
              <w:keepNext w:val="true"/>
              <w:tabs>
                <w:tab w:val="clear" w:pos="720"/>
                <w:tab w:val="decimal" w:pos="619" w:leader="none"/>
              </w:tabs>
              <w:spacing w:before="36" w:after="216"/>
              <w:rPr/>
            </w:pPr>
            <w:r>
              <w:rPr/>
              <w:t>988.7</w:t>
            </w:r>
          </w:p>
        </w:tc>
      </w:tr>
      <w:tr>
        <w:trPr>
          <w:trHeight w:val="465" w:hRule="atLeast"/>
        </w:trPr>
        <w:tc>
          <w:tcPr>
            <w:tcW w:w="3110" w:type="dxa"/>
            <w:tcBorders>
              <w:bottom w:val="single" w:sz="4" w:space="0" w:color="000000"/>
            </w:tcBorders>
          </w:tcPr>
          <w:p>
            <w:pPr>
              <w:pStyle w:val="Normal"/>
              <w:keepNext w:val="true"/>
              <w:spacing w:before="36" w:after="216"/>
              <w:ind w:start="360" w:end="0"/>
              <w:rPr/>
            </w:pPr>
            <w:r>
              <w:rPr/>
              <w:t>Average Summer</w:t>
            </w:r>
            <w:r>
              <w:rPr>
                <w:vertAlign w:val="superscript"/>
              </w:rPr>
              <w:t>2</w:t>
            </w:r>
            <w:r>
              <w:rPr/>
              <w:t xml:space="preserve"> Peak</w:t>
            </w:r>
            <w:r>
              <w:rPr>
                <w:rStyle w:val="CommentReference"/>
                <w:rFonts w:cs="Arial" w:ascii="Arial" w:hAnsi="Arial"/>
                <w:vanish w:val="false"/>
              </w:rPr>
              <w:commentReference w:id="16"/>
            </w:r>
          </w:p>
        </w:tc>
        <w:tc>
          <w:tcPr>
            <w:tcW w:w="1008" w:type="dxa"/>
            <w:tcBorders>
              <w:bottom w:val="single" w:sz="4" w:space="0" w:color="000000"/>
            </w:tcBorders>
          </w:tcPr>
          <w:p>
            <w:pPr>
              <w:pStyle w:val="T0"/>
              <w:keepNext w:val="true"/>
              <w:tabs>
                <w:tab w:val="clear" w:pos="720"/>
                <w:tab w:val="decimal" w:pos="742" w:leader="none"/>
              </w:tabs>
              <w:spacing w:before="36" w:after="216"/>
              <w:rPr/>
            </w:pPr>
            <w:r>
              <w:rPr/>
              <w:t>NA</w:t>
            </w:r>
          </w:p>
        </w:tc>
        <w:tc>
          <w:tcPr>
            <w:tcW w:w="1008" w:type="dxa"/>
            <w:tcBorders>
              <w:bottom w:val="single" w:sz="4" w:space="0" w:color="000000"/>
            </w:tcBorders>
          </w:tcPr>
          <w:p>
            <w:pPr>
              <w:pStyle w:val="Normal"/>
              <w:keepNext w:val="true"/>
              <w:tabs>
                <w:tab w:val="clear" w:pos="720"/>
                <w:tab w:val="decimal" w:pos="619" w:leader="none"/>
              </w:tabs>
              <w:spacing w:before="36" w:after="216"/>
              <w:rPr/>
            </w:pPr>
            <w:r>
              <w:rPr/>
              <w:t>37.0</w:t>
            </w:r>
          </w:p>
        </w:tc>
        <w:tc>
          <w:tcPr>
            <w:tcW w:w="1008" w:type="dxa"/>
            <w:tcBorders>
              <w:bottom w:val="single" w:sz="4" w:space="0" w:color="000000"/>
            </w:tcBorders>
          </w:tcPr>
          <w:p>
            <w:pPr>
              <w:pStyle w:val="Normal"/>
              <w:keepNext w:val="true"/>
              <w:tabs>
                <w:tab w:val="clear" w:pos="720"/>
                <w:tab w:val="decimal" w:pos="619" w:leader="none"/>
              </w:tabs>
              <w:spacing w:before="36" w:after="216"/>
              <w:rPr/>
            </w:pPr>
            <w:r>
              <w:rPr/>
              <w:t>146.1</w:t>
            </w:r>
          </w:p>
        </w:tc>
        <w:tc>
          <w:tcPr>
            <w:tcW w:w="1008" w:type="dxa"/>
            <w:tcBorders>
              <w:bottom w:val="single" w:sz="4" w:space="0" w:color="000000"/>
            </w:tcBorders>
          </w:tcPr>
          <w:p>
            <w:pPr>
              <w:pStyle w:val="Normal"/>
              <w:keepNext w:val="true"/>
              <w:tabs>
                <w:tab w:val="clear" w:pos="720"/>
                <w:tab w:val="decimal" w:pos="619" w:leader="none"/>
              </w:tabs>
              <w:spacing w:before="36" w:after="216"/>
              <w:rPr/>
            </w:pPr>
            <w:r>
              <w:rPr/>
              <w:t>139.0</w:t>
            </w:r>
          </w:p>
        </w:tc>
      </w:tr>
    </w:tbl>
    <w:p>
      <w:pPr>
        <w:pStyle w:val="Caption"/>
        <w:numPr>
          <w:ilvl w:val="0"/>
          <w:numId w:val="0"/>
        </w:numPr>
        <w:ind w:hanging="360" w:start="360" w:end="0"/>
        <w:rPr/>
      </w:pPr>
      <w:bookmarkStart w:id="5" w:name="scanchart2"/>
      <w:bookmarkEnd w:id="5"/>
      <w:r>
        <w:rPr/>
        <w:tab/>
        <w:tab/>
        <w:tab/>
      </w:r>
      <w:r>
        <w:rPr>
          <w:vertAlign w:val="superscript"/>
        </w:rPr>
        <w:t>1</w:t>
      </w:r>
      <w:r>
        <w:rPr/>
        <w:t>Includes weekday hours 6 through 22.</w:t>
      </w:r>
    </w:p>
    <w:p>
      <w:pPr>
        <w:pStyle w:val="Caption"/>
        <w:numPr>
          <w:ilvl w:val="0"/>
          <w:numId w:val="0"/>
        </w:numPr>
        <w:ind w:hanging="360" w:start="360" w:end="0"/>
        <w:rPr/>
      </w:pPr>
      <w:r>
        <w:rPr/>
        <w:tab/>
        <w:tab/>
        <w:tab/>
      </w:r>
      <w:r>
        <w:rPr>
          <w:vertAlign w:val="superscript"/>
        </w:rPr>
        <w:t>2</w:t>
      </w:r>
      <w:r>
        <w:rPr/>
        <w:t xml:space="preserve"> Includes June, Kuly and August.</w:t>
      </w:r>
    </w:p>
    <w:p>
      <w:pPr>
        <w:pStyle w:val="Caption"/>
        <w:numPr>
          <w:ilvl w:val="0"/>
          <w:numId w:val="0"/>
        </w:numPr>
        <w:ind w:hanging="360" w:start="360" w:end="0"/>
        <w:rPr/>
      </w:pPr>
      <w:r>
        <w:rPr/>
        <w:tab/>
        <w:tab/>
        <w:tab/>
        <w:t>Source Power Market Week (PMW) weekly index).</w:t>
      </w:r>
    </w:p>
    <w:p>
      <w:pPr>
        <w:pStyle w:val="A0b"/>
        <w:numPr>
          <w:ilvl w:val="0"/>
          <w:numId w:val="6"/>
        </w:numPr>
        <w:ind w:hanging="0" w:start="0"/>
        <w:rPr/>
      </w:pPr>
      <w:r>
        <w:rPr/>
        <w:t>ECAR’s baseload capacity is sufficient to meet its average needs.</w:t>
      </w:r>
    </w:p>
    <w:p>
      <w:pPr>
        <w:pStyle w:val="A0b"/>
        <w:numPr>
          <w:ilvl w:val="0"/>
          <w:numId w:val="6"/>
        </w:numPr>
        <w:ind w:hanging="0" w:start="0"/>
        <w:rPr/>
      </w:pPr>
      <w:r>
        <w:rPr/>
        <w:t>Capacity becomes quite scarce during peak periods.</w:t>
      </w:r>
    </w:p>
    <w:p>
      <w:pPr>
        <w:pStyle w:val="B0bbox"/>
        <w:numPr>
          <w:ilvl w:val="0"/>
          <w:numId w:val="9"/>
        </w:numPr>
        <w:rPr/>
      </w:pPr>
      <w:r>
        <w:rPr/>
        <w:t>ECAR has become increasingly capacity short, causing higher price volatility.</w:t>
      </w:r>
    </w:p>
    <w:p>
      <w:pPr>
        <w:pStyle w:val="B0bbox"/>
        <w:numPr>
          <w:ilvl w:val="0"/>
          <w:numId w:val="9"/>
        </w:numPr>
        <w:rPr/>
      </w:pPr>
      <w:r>
        <w:rPr/>
        <w:t>Southern ECAR experienced explosions in peak power prices in the summers of 1997 and more so in 1998.  As in MAIN, these spikes help account for the high 1998 average and on peak Power Markets Week prices.</w:t>
      </w:r>
    </w:p>
    <w:p>
      <w:pPr>
        <w:pStyle w:val="B0bbox"/>
        <w:numPr>
          <w:ilvl w:val="0"/>
          <w:numId w:val="9"/>
        </w:numPr>
        <w:rPr/>
      </w:pPr>
      <w:r>
        <w:rPr/>
        <w:t xml:space="preserve">In 1999, Southern ECAR again experienced high prices, with the weekly index reaching as high as </w:t>
      </w:r>
      <w:r>
        <w:rPr>
          <w:rStyle w:val="CommentReference"/>
          <w:vanish w:val="false"/>
        </w:rPr>
        <w:commentReference w:id="17"/>
      </w:r>
      <w:r>
        <w:rPr/>
        <w:t>$600/MWh in August.</w:t>
      </w:r>
      <w:r>
        <w:br w:type="page"/>
      </w:r>
    </w:p>
    <w:p>
      <w:pPr>
        <w:pStyle w:val="Ttl0"/>
        <w:keepNext w:val="true"/>
        <w:ind w:start="1440" w:end="0"/>
        <w:rPr/>
      </w:pPr>
      <w:r>
        <w:drawing>
          <wp:anchor behindDoc="0" distT="0" distB="0" distL="114935" distR="114935" simplePos="0" locked="0" layoutInCell="0" allowOverlap="1" relativeHeight="19">
            <wp:simplePos x="0" y="0"/>
            <wp:positionH relativeFrom="column">
              <wp:posOffset>228600</wp:posOffset>
            </wp:positionH>
            <wp:positionV relativeFrom="paragraph">
              <wp:posOffset>457200</wp:posOffset>
            </wp:positionV>
            <wp:extent cx="5479415" cy="4107815"/>
            <wp:effectExtent l="0" t="0" r="0" b="0"/>
            <wp:wrapTopAndBottom/>
            <wp:docPr id="30"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 descr="" title=""/>
                    <pic:cNvPicPr>
                      <a:picLocks noChangeAspect="1" noChangeArrowheads="1"/>
                    </pic:cNvPicPr>
                  </pic:nvPicPr>
                  <pic:blipFill>
                    <a:blip r:embed="rId23"/>
                    <a:srcRect l="-4" t="-5" r="-4" b="-5"/>
                    <a:stretch>
                      <a:fillRect/>
                    </a:stretch>
                  </pic:blipFill>
                  <pic:spPr bwMode="auto">
                    <a:xfrm>
                      <a:off x="0" y="0"/>
                      <a:ext cx="5479415" cy="4107815"/>
                    </a:xfrm>
                    <a:prstGeom prst="rect">
                      <a:avLst/>
                    </a:prstGeom>
                    <a:noFill/>
                  </pic:spPr>
                </pic:pic>
              </a:graphicData>
            </a:graphic>
          </wp:anchor>
        </w:drawing>
      </w:r>
      <w:r>
        <w:rPr/>
        <w:t>ECAR Weekly Indexes – Recent Price Spikes in ECAR</w:t>
      </w:r>
    </w:p>
    <w:p>
      <w:pPr>
        <w:pStyle w:val="Ttl0"/>
        <w:keepNext w:val="true"/>
        <w:ind w:start="1440" w:end="0"/>
        <w:rPr/>
      </w:pPr>
      <w:r>
        <w:rPr/>
      </w:r>
    </w:p>
    <w:p>
      <w:pPr>
        <w:pStyle w:val="Hidden"/>
        <w:rPr/>
      </w:pPr>
      <w:r>
        <w:rPr/>
        <w:t>!Sheet1  Size: 4.10" x 6.00"  Original Size: 4.50" x 5.99"    Crop:  .11" Top   .29" Bottom</w:t>
      </w:r>
    </w:p>
    <w:p>
      <w:pPr>
        <w:pStyle w:val="Normal"/>
        <w:ind w:start="720" w:end="0"/>
        <w:rPr/>
      </w:pPr>
      <w:r>
        <w:rPr/>
      </w:r>
    </w:p>
    <w:p>
      <w:pPr>
        <w:pStyle w:val="Normal"/>
        <w:tabs>
          <w:tab w:val="clear" w:pos="720"/>
          <w:tab w:val="left" w:pos="5040" w:leader="none"/>
        </w:tabs>
        <w:ind w:start="1233" w:end="0"/>
        <w:rPr/>
      </w:pPr>
      <w:r>
        <w:rPr>
          <w:i/>
          <w:sz w:val="16"/>
        </w:rPr>
        <w:t>Source</w:t>
      </w:r>
      <w:r>
        <w:rPr>
          <w:sz w:val="16"/>
        </w:rPr>
        <w:t>:  Power Market Week.</w:t>
      </w:r>
    </w:p>
    <w:p>
      <w:pPr>
        <w:pStyle w:val="A0"/>
        <w:rPr>
          <w:sz w:val="16"/>
        </w:rPr>
      </w:pPr>
      <w:r>
        <w:rPr>
          <w:sz w:val="16"/>
        </w:rPr>
      </w:r>
      <w:r>
        <w:br w:type="page"/>
      </w:r>
    </w:p>
    <w:p>
      <w:pPr>
        <w:pStyle w:val="SecRN0"/>
        <w:rPr/>
      </w:pPr>
      <w:r>
        <w:rPr/>
        <w:t>V.</w:t>
        <w:tab/>
        <w:t xml:space="preserve">TENNESSEE VALLEY AUTHORITY (“TVA”) </w:t>
      </w:r>
    </w:p>
    <w:p>
      <w:pPr>
        <w:pStyle w:val="A0"/>
        <w:rPr/>
      </w:pPr>
      <w:r>
        <w:rPr/>
        <w:t>While TVA is not an independent reliability council, it is discussed here separately from the rest of the Southeast Electric Reliability Council (“SERC”) for several reasons:</w:t>
      </w:r>
    </w:p>
    <w:p>
      <w:pPr>
        <w:pStyle w:val="A0b"/>
        <w:numPr>
          <w:ilvl w:val="0"/>
          <w:numId w:val="6"/>
        </w:numPr>
        <w:ind w:hanging="0" w:start="0"/>
        <w:rPr/>
      </w:pPr>
      <w:r>
        <w:rPr/>
        <w:t>SERC is extremely large and diverse, and it is therefore less meaningful to examine SERC as a single marketplace (e.g. TVA has significantly more hydropower generation than the rest of SERC).</w:t>
      </w:r>
    </w:p>
    <w:p>
      <w:pPr>
        <w:pStyle w:val="A0b"/>
        <w:numPr>
          <w:ilvl w:val="0"/>
          <w:numId w:val="6"/>
        </w:numPr>
        <w:ind w:hanging="0" w:start="0"/>
        <w:rPr/>
      </w:pPr>
      <w:r>
        <w:rPr/>
        <w:t>TVA has significant independence from SERC for planning and operations.</w:t>
      </w:r>
    </w:p>
    <w:p>
      <w:pPr>
        <w:pStyle w:val="A0b"/>
        <w:numPr>
          <w:ilvl w:val="0"/>
          <w:numId w:val="6"/>
        </w:numPr>
        <w:ind w:hanging="0" w:start="0"/>
        <w:rPr/>
      </w:pPr>
      <w:r>
        <w:rPr/>
        <w:t>There are transmission constraints between TVA and the rest of SERC.</w:t>
      </w:r>
    </w:p>
    <w:p>
      <w:pPr>
        <w:pStyle w:val="HdLet0"/>
        <w:rPr/>
      </w:pPr>
      <w:r>
        <w:rPr/>
        <w:t>A.</w:t>
        <w:tab/>
        <w:t xml:space="preserve">TVA Regional Overview </w:t>
      </w:r>
    </w:p>
    <w:p>
      <w:pPr>
        <w:pStyle w:val="A0b"/>
        <w:numPr>
          <w:ilvl w:val="0"/>
          <w:numId w:val="6"/>
        </w:numPr>
        <w:ind w:hanging="0" w:start="0"/>
        <w:rPr/>
      </w:pPr>
      <w:r>
        <w:rPr/>
        <w:t>TVA is primarily a wholesaler, selling about 80 percent of its output to about 160 municipal utilities and cooperatives, and also sells directly to 60 large industrial customer and government installations.</w:t>
      </w:r>
    </w:p>
    <w:p>
      <w:pPr>
        <w:pStyle w:val="A0b"/>
        <w:numPr>
          <w:ilvl w:val="0"/>
          <w:numId w:val="6"/>
        </w:numPr>
        <w:ind w:hanging="0" w:start="0"/>
        <w:rPr/>
      </w:pPr>
      <w:r>
        <w:rPr/>
        <w:t>TVA encompasses a 200,000-square kilometer area including all of Tennessee, sizeable portions of northern Alabama, northern Mississippi, and southern Kentucky and small portions of Georgia, North Carolina, and Virginia.</w:t>
      </w:r>
    </w:p>
    <w:p>
      <w:pPr>
        <w:pStyle w:val="A0b"/>
        <w:numPr>
          <w:ilvl w:val="0"/>
          <w:numId w:val="6"/>
        </w:numPr>
        <w:spacing w:before="100" w:after="240"/>
        <w:ind w:hanging="0" w:start="0"/>
        <w:rPr/>
      </w:pPr>
      <w:r>
        <w:rPr/>
        <w:t>TVA is planned and dispatched as one system with peak loads in excess of 27 GW.</w:t>
      </w:r>
    </w:p>
    <w:p>
      <w:pPr>
        <w:pStyle w:val="A0b"/>
        <w:numPr>
          <w:ilvl w:val="0"/>
          <w:numId w:val="0"/>
        </w:numPr>
        <w:spacing w:before="100" w:after="240"/>
        <w:ind w:hanging="0" w:start="1800" w:end="0"/>
        <w:rPr/>
      </w:pPr>
      <w:r>
        <w:rPr/>
        <w:br/>
      </w:r>
    </w:p>
    <w:p>
      <w:pPr>
        <w:pStyle w:val="Normal"/>
        <w:rPr>
          <w:vanish/>
          <w:color w:val="FF0000"/>
        </w:rPr>
      </w:pPr>
      <w:r>
        <w:rPr>
          <w:vanish/>
          <w:color w:val="FF0000"/>
        </w:rPr>
        <w:t>k:\adobe\tif_april\enron\....tif,gif,jpg</w:t>
      </w:r>
    </w:p>
    <w:p>
      <w:pPr>
        <w:pStyle w:val="Normal"/>
        <w:ind w:start="2160" w:end="0"/>
        <w:rPr>
          <w:rFonts w:ascii="Arial Bold" w:hAnsi="Arial Bold" w:cs="Arial Bold"/>
        </w:rPr>
      </w:pPr>
      <w:r>
        <w:rPr>
          <w:rFonts w:cs="Arial Bold" w:ascii="Arial Bold" w:hAnsi="Arial Bold"/>
        </w:rPr>
        <w:drawing>
          <wp:inline distT="0" distB="0" distL="0" distR="0">
            <wp:extent cx="4549140" cy="3478530"/>
            <wp:effectExtent l="0" t="0" r="0" b="0"/>
            <wp:docPr id="31" name="2%20copy"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20copy" descr="" title=""/>
                    <pic:cNvPicPr>
                      <a:picLocks noChangeAspect="1" noChangeArrowheads="1"/>
                    </pic:cNvPicPr>
                  </pic:nvPicPr>
                  <pic:blipFill>
                    <a:blip r:embed="rId24"/>
                    <a:stretch>
                      <a:fillRect/>
                    </a:stretch>
                  </pic:blipFill>
                  <pic:spPr bwMode="auto">
                    <a:xfrm>
                      <a:off x="0" y="0"/>
                      <a:ext cx="4549140" cy="3478530"/>
                    </a:xfrm>
                    <a:prstGeom prst="rect">
                      <a:avLst/>
                    </a:prstGeom>
                    <a:noFill/>
                    <a:ln w="6350">
                      <a:solidFill>
                        <a:srgbClr val="000000"/>
                      </a:solidFill>
                    </a:ln>
                  </pic:spPr>
                </pic:pic>
              </a:graphicData>
            </a:graphic>
          </wp:inline>
        </w:drawing>
      </w:r>
      <w:r>
        <w:br w:type="page"/>
      </w:r>
    </w:p>
    <w:p>
      <w:pPr>
        <w:pStyle w:val="Sub0"/>
        <w:keepNext w:val="false"/>
        <w:keepLines/>
        <w:spacing w:before="360" w:after="0"/>
        <w:rPr/>
      </w:pPr>
      <w:r>
        <w:rPr/>
        <w:t>TVA Market Size – 2000</w:t>
      </w:r>
    </w:p>
    <w:tbl>
      <w:tblPr>
        <w:tblW w:w="6300" w:type="dxa"/>
        <w:jc w:val="start"/>
        <w:tblInd w:w="1440" w:type="dxa"/>
        <w:tblLayout w:type="fixed"/>
        <w:tblCellMar>
          <w:top w:w="0" w:type="dxa"/>
          <w:start w:w="0" w:type="dxa"/>
          <w:bottom w:w="0" w:type="dxa"/>
          <w:end w:w="0" w:type="dxa"/>
        </w:tblCellMar>
      </w:tblPr>
      <w:tblGrid>
        <w:gridCol w:w="3825"/>
        <w:gridCol w:w="2475"/>
      </w:tblGrid>
      <w:tr>
        <w:trPr/>
        <w:tc>
          <w:tcPr>
            <w:tcW w:w="3825" w:type="dxa"/>
            <w:tcBorders>
              <w:top w:val="single" w:sz="18" w:space="0" w:color="000000"/>
              <w:bottom w:val="single" w:sz="6" w:space="0" w:color="000000"/>
            </w:tcBorders>
            <w:vAlign w:val="bottom"/>
          </w:tcPr>
          <w:p>
            <w:pPr>
              <w:pStyle w:val="Normal"/>
              <w:keepLines/>
              <w:snapToGrid w:val="false"/>
              <w:spacing w:before="20" w:after="20"/>
              <w:jc w:val="center"/>
              <w:rPr>
                <w:caps/>
                <w:sz w:val="16"/>
              </w:rPr>
            </w:pPr>
            <w:r>
              <w:rPr>
                <w:caps/>
                <w:sz w:val="16"/>
              </w:rPr>
            </w:r>
          </w:p>
        </w:tc>
        <w:tc>
          <w:tcPr>
            <w:tcW w:w="2475" w:type="dxa"/>
            <w:tcBorders>
              <w:top w:val="single" w:sz="18" w:space="0" w:color="000000"/>
              <w:bottom w:val="single" w:sz="6" w:space="0" w:color="000000"/>
            </w:tcBorders>
            <w:vAlign w:val="bottom"/>
          </w:tcPr>
          <w:p>
            <w:pPr>
              <w:pStyle w:val="Normal"/>
              <w:keepLines/>
              <w:snapToGrid w:val="false"/>
              <w:spacing w:before="20" w:after="20"/>
              <w:jc w:val="center"/>
              <w:rPr>
                <w:caps/>
                <w:sz w:val="16"/>
              </w:rPr>
            </w:pPr>
            <w:r>
              <w:rPr>
                <w:caps/>
                <w:sz w:val="16"/>
              </w:rPr>
            </w:r>
          </w:p>
        </w:tc>
      </w:tr>
      <w:tr>
        <w:trPr/>
        <w:tc>
          <w:tcPr>
            <w:tcW w:w="3825" w:type="dxa"/>
            <w:tcBorders/>
          </w:tcPr>
          <w:p>
            <w:pPr>
              <w:pStyle w:val="T0"/>
              <w:keepLines/>
              <w:spacing w:before="180" w:after="36"/>
              <w:rPr>
                <w:vertAlign w:val="superscript"/>
              </w:rPr>
            </w:pPr>
            <w:r>
              <w:rPr/>
              <w:t>Total Capacity</w:t>
            </w:r>
          </w:p>
        </w:tc>
        <w:tc>
          <w:tcPr>
            <w:tcW w:w="2475" w:type="dxa"/>
            <w:tcBorders/>
          </w:tcPr>
          <w:p>
            <w:pPr>
              <w:pStyle w:val="Normal"/>
              <w:keepLines/>
              <w:tabs>
                <w:tab w:val="clear" w:pos="720"/>
                <w:tab w:val="decimal" w:pos="1305" w:leader="none"/>
              </w:tabs>
              <w:spacing w:before="180" w:after="36"/>
              <w:ind w:start="45" w:end="0"/>
              <w:rPr/>
            </w:pPr>
            <w:r>
              <w:rPr/>
              <w:t>30 GW</w:t>
            </w:r>
          </w:p>
        </w:tc>
      </w:tr>
      <w:tr>
        <w:trPr/>
        <w:tc>
          <w:tcPr>
            <w:tcW w:w="3825" w:type="dxa"/>
            <w:tcBorders/>
          </w:tcPr>
          <w:p>
            <w:pPr>
              <w:pStyle w:val="Normal"/>
              <w:keepLines/>
              <w:spacing w:before="36" w:after="36"/>
              <w:rPr>
                <w:vertAlign w:val="superscript"/>
              </w:rPr>
            </w:pPr>
            <w:r>
              <w:rPr/>
              <w:t>Peak Load</w:t>
            </w:r>
          </w:p>
        </w:tc>
        <w:tc>
          <w:tcPr>
            <w:tcW w:w="2475" w:type="dxa"/>
            <w:tcBorders/>
          </w:tcPr>
          <w:p>
            <w:pPr>
              <w:pStyle w:val="Normal"/>
              <w:keepLines/>
              <w:tabs>
                <w:tab w:val="clear" w:pos="720"/>
                <w:tab w:val="decimal" w:pos="1305" w:leader="none"/>
              </w:tabs>
              <w:spacing w:before="36" w:after="36"/>
              <w:ind w:start="45" w:end="0"/>
              <w:rPr/>
            </w:pPr>
            <w:r>
              <w:rPr/>
              <w:t>27 GW</w:t>
            </w:r>
          </w:p>
        </w:tc>
      </w:tr>
      <w:tr>
        <w:trPr/>
        <w:tc>
          <w:tcPr>
            <w:tcW w:w="3825" w:type="dxa"/>
            <w:tcBorders/>
          </w:tcPr>
          <w:p>
            <w:pPr>
              <w:pStyle w:val="Normal"/>
              <w:keepLines/>
              <w:spacing w:before="36" w:after="36"/>
              <w:rPr>
                <w:vertAlign w:val="superscript"/>
              </w:rPr>
            </w:pPr>
            <w:r>
              <w:rPr/>
              <w:t>Capacity Within One Wheel</w:t>
            </w:r>
          </w:p>
        </w:tc>
        <w:tc>
          <w:tcPr>
            <w:tcW w:w="2475" w:type="dxa"/>
            <w:tcBorders/>
          </w:tcPr>
          <w:p>
            <w:pPr>
              <w:pStyle w:val="Normal"/>
              <w:keepLines/>
              <w:tabs>
                <w:tab w:val="clear" w:pos="720"/>
                <w:tab w:val="decimal" w:pos="1305" w:leader="none"/>
              </w:tabs>
              <w:spacing w:before="36" w:after="36"/>
              <w:ind w:start="45" w:end="0"/>
              <w:rPr/>
            </w:pPr>
            <w:r>
              <w:rPr/>
              <w:t>350 GW</w:t>
            </w:r>
          </w:p>
        </w:tc>
      </w:tr>
      <w:tr>
        <w:trPr/>
        <w:tc>
          <w:tcPr>
            <w:tcW w:w="3825" w:type="dxa"/>
            <w:tcBorders/>
          </w:tcPr>
          <w:p>
            <w:pPr>
              <w:pStyle w:val="Normal"/>
              <w:keepLines/>
              <w:spacing w:before="36" w:after="36"/>
              <w:rPr>
                <w:vertAlign w:val="superscript"/>
              </w:rPr>
            </w:pPr>
            <w:r>
              <w:rPr/>
              <w:t>Import Capability</w:t>
            </w:r>
          </w:p>
        </w:tc>
        <w:tc>
          <w:tcPr>
            <w:tcW w:w="2475" w:type="dxa"/>
            <w:tcBorders/>
          </w:tcPr>
          <w:p>
            <w:pPr>
              <w:pStyle w:val="Normal"/>
              <w:keepLines/>
              <w:tabs>
                <w:tab w:val="clear" w:pos="720"/>
                <w:tab w:val="decimal" w:pos="1305" w:leader="none"/>
              </w:tabs>
              <w:spacing w:before="36" w:after="36"/>
              <w:ind w:start="45" w:end="0"/>
              <w:rPr/>
            </w:pPr>
            <w:r>
              <w:rPr/>
              <w:t>11 GW</w:t>
            </w:r>
          </w:p>
        </w:tc>
      </w:tr>
      <w:tr>
        <w:trPr/>
        <w:tc>
          <w:tcPr>
            <w:tcW w:w="3825" w:type="dxa"/>
            <w:tcBorders/>
          </w:tcPr>
          <w:p>
            <w:pPr>
              <w:pStyle w:val="Normal"/>
              <w:keepLines/>
              <w:spacing w:before="36" w:after="36"/>
              <w:rPr>
                <w:vertAlign w:val="superscript"/>
              </w:rPr>
            </w:pPr>
            <w:r>
              <w:rPr/>
              <w:t>Export Capability</w:t>
            </w:r>
          </w:p>
        </w:tc>
        <w:tc>
          <w:tcPr>
            <w:tcW w:w="2475" w:type="dxa"/>
            <w:tcBorders/>
          </w:tcPr>
          <w:p>
            <w:pPr>
              <w:pStyle w:val="Normal"/>
              <w:keepLines/>
              <w:tabs>
                <w:tab w:val="clear" w:pos="720"/>
                <w:tab w:val="decimal" w:pos="1305" w:leader="none"/>
              </w:tabs>
              <w:spacing w:before="36" w:after="36"/>
              <w:ind w:start="45" w:end="0"/>
              <w:rPr/>
            </w:pPr>
            <w:r>
              <w:rPr/>
              <w:t>9 GW</w:t>
            </w:r>
          </w:p>
        </w:tc>
      </w:tr>
      <w:tr>
        <w:trPr/>
        <w:tc>
          <w:tcPr>
            <w:tcW w:w="3825" w:type="dxa"/>
            <w:tcBorders/>
          </w:tcPr>
          <w:p>
            <w:pPr>
              <w:pStyle w:val="Normal"/>
              <w:keepLines/>
              <w:spacing w:before="36" w:after="36"/>
              <w:rPr>
                <w:vertAlign w:val="superscript"/>
              </w:rPr>
            </w:pPr>
            <w:r>
              <w:rPr/>
              <w:t>Net Annual Energy</w:t>
            </w:r>
          </w:p>
        </w:tc>
        <w:tc>
          <w:tcPr>
            <w:tcW w:w="2475" w:type="dxa"/>
            <w:tcBorders/>
          </w:tcPr>
          <w:p>
            <w:pPr>
              <w:pStyle w:val="Normal"/>
              <w:keepLines/>
              <w:tabs>
                <w:tab w:val="clear" w:pos="720"/>
                <w:tab w:val="decimal" w:pos="1305" w:leader="none"/>
              </w:tabs>
              <w:spacing w:before="36" w:after="36"/>
              <w:ind w:start="45" w:end="0"/>
              <w:rPr/>
            </w:pPr>
            <w:r>
              <w:rPr/>
              <w:t>161,604 GWh</w:t>
            </w:r>
          </w:p>
        </w:tc>
      </w:tr>
      <w:tr>
        <w:trPr/>
        <w:tc>
          <w:tcPr>
            <w:tcW w:w="3825" w:type="dxa"/>
            <w:tcBorders/>
          </w:tcPr>
          <w:p>
            <w:pPr>
              <w:pStyle w:val="Normal"/>
              <w:keepLines/>
              <w:spacing w:before="36" w:after="36"/>
              <w:rPr>
                <w:vertAlign w:val="superscript"/>
              </w:rPr>
            </w:pPr>
            <w:r>
              <w:rPr/>
              <w:t>Average Demand</w:t>
            </w:r>
          </w:p>
        </w:tc>
        <w:tc>
          <w:tcPr>
            <w:tcW w:w="2475" w:type="dxa"/>
            <w:tcBorders/>
          </w:tcPr>
          <w:p>
            <w:pPr>
              <w:pStyle w:val="Normal"/>
              <w:keepLines/>
              <w:tabs>
                <w:tab w:val="clear" w:pos="720"/>
                <w:tab w:val="decimal" w:pos="1305" w:leader="none"/>
              </w:tabs>
              <w:spacing w:before="36" w:after="36"/>
              <w:ind w:start="45" w:end="0"/>
              <w:rPr/>
            </w:pPr>
            <w:r>
              <w:rPr/>
              <w:t>18 GW</w:t>
            </w:r>
          </w:p>
        </w:tc>
      </w:tr>
      <w:tr>
        <w:trPr/>
        <w:tc>
          <w:tcPr>
            <w:tcW w:w="3825" w:type="dxa"/>
            <w:tcBorders>
              <w:bottom w:val="single" w:sz="6" w:space="0" w:color="000000"/>
            </w:tcBorders>
          </w:tcPr>
          <w:p>
            <w:pPr>
              <w:pStyle w:val="T0"/>
              <w:keepLines/>
              <w:spacing w:before="36" w:after="180"/>
              <w:rPr>
                <w:vertAlign w:val="superscript"/>
              </w:rPr>
            </w:pPr>
            <w:r>
              <w:rPr/>
              <w:t>Net Imports</w:t>
            </w:r>
          </w:p>
        </w:tc>
        <w:tc>
          <w:tcPr>
            <w:tcW w:w="2475" w:type="dxa"/>
            <w:tcBorders>
              <w:bottom w:val="single" w:sz="6" w:space="0" w:color="000000"/>
            </w:tcBorders>
          </w:tcPr>
          <w:p>
            <w:pPr>
              <w:pStyle w:val="Normal"/>
              <w:keepLines/>
              <w:tabs>
                <w:tab w:val="clear" w:pos="720"/>
                <w:tab w:val="decimal" w:pos="1305" w:leader="none"/>
              </w:tabs>
              <w:spacing w:before="36" w:after="180"/>
              <w:ind w:start="45" w:end="0"/>
              <w:rPr/>
            </w:pPr>
            <w:r>
              <w:rPr/>
              <w:t>2,496 GWh</w:t>
            </w:r>
          </w:p>
        </w:tc>
      </w:tr>
    </w:tbl>
    <w:p>
      <w:pPr>
        <w:pStyle w:val="Source"/>
        <w:numPr>
          <w:ilvl w:val="0"/>
          <w:numId w:val="0"/>
        </w:numPr>
        <w:ind w:hanging="0" w:start="1440" w:end="0"/>
        <w:rPr/>
      </w:pPr>
      <w:r>
        <w:rPr/>
        <w:t>Source: ICF Base Case Forecasts for 2000.</w:t>
      </w:r>
    </w:p>
    <w:p>
      <w:pPr>
        <w:pStyle w:val="Normal"/>
        <w:rPr/>
      </w:pPr>
      <w:r>
        <w:rPr/>
        <w:tab/>
        <w:tab/>
        <w:t xml:space="preserve"> </w:t>
      </w:r>
    </w:p>
    <w:p>
      <w:pPr>
        <w:pStyle w:val="Normal"/>
        <w:rPr/>
      </w:pPr>
      <w:r>
        <w:rPr/>
      </w:r>
    </w:p>
    <w:p>
      <w:pPr>
        <w:pStyle w:val="HdLet0"/>
        <w:rPr/>
      </w:pPr>
      <w:r>
        <w:rPr/>
        <w:t>B.</w:t>
        <w:tab/>
        <w:t xml:space="preserve">TVA Capacity Mix </w:t>
      </w:r>
    </w:p>
    <w:p>
      <w:pPr>
        <w:pStyle w:val="A0b"/>
        <w:numPr>
          <w:ilvl w:val="0"/>
          <w:numId w:val="6"/>
        </w:numPr>
        <w:ind w:hanging="0" w:start="0"/>
        <w:rPr/>
      </w:pPr>
      <w:r>
        <w:rPr/>
        <w:t>The TVA capacity and generation mix is dominated by coal, which accounted for about 50% of installed capacity and approximately 65% of total generation in 1997.</w:t>
      </w:r>
    </w:p>
    <w:p>
      <w:pPr>
        <w:pStyle w:val="A0b"/>
        <w:numPr>
          <w:ilvl w:val="0"/>
          <w:numId w:val="6"/>
        </w:numPr>
        <w:ind w:hanging="0" w:start="0"/>
        <w:rPr/>
      </w:pPr>
      <w:r>
        <w:rPr/>
        <w:t>Nuclear and hydro (including pumped storage) account for roughly 22% and 21%, respectively, of the total capacity.  The remaining capacity in TVA is comprised mainly of combustion turbines which are relied on for peak hours.</w:t>
      </w:r>
    </w:p>
    <w:p>
      <w:pPr>
        <w:pStyle w:val="A0b"/>
        <w:numPr>
          <w:ilvl w:val="0"/>
          <w:numId w:val="6"/>
        </w:numPr>
        <w:ind w:hanging="0" w:start="0"/>
        <w:rPr/>
      </w:pPr>
      <w:r>
        <w:rPr/>
        <w:t>TVA has more hydro than any other major U.S. sub-region in the Eastern Interconnect.</w:t>
      </w:r>
    </w:p>
    <w:p>
      <w:pPr>
        <w:pStyle w:val="Sub0"/>
        <w:ind w:start="360" w:end="0"/>
        <w:rPr/>
      </w:pPr>
      <w:r>
        <w:rPr/>
        <w:t>TVA Capacity and Generation Mix – 2000</w:t>
      </w:r>
    </w:p>
    <w:tbl>
      <w:tblPr>
        <w:tblW w:w="9360" w:type="dxa"/>
        <w:jc w:val="center"/>
        <w:tblInd w:w="0" w:type="dxa"/>
        <w:tblLayout w:type="fixed"/>
        <w:tblCellMar>
          <w:top w:w="0" w:type="dxa"/>
          <w:start w:w="108" w:type="dxa"/>
          <w:bottom w:w="0" w:type="dxa"/>
          <w:end w:w="108" w:type="dxa"/>
        </w:tblCellMar>
      </w:tblPr>
      <w:tblGrid>
        <w:gridCol w:w="4536"/>
        <w:gridCol w:w="281"/>
        <w:gridCol w:w="4530"/>
        <w:gridCol w:w="13"/>
      </w:tblGrid>
      <w:tr>
        <w:trPr/>
        <w:tc>
          <w:tcPr>
            <w:tcW w:w="4536"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rFonts w:ascii="Arial Bold" w:hAnsi="Arial Bold" w:cs="Arial Bold"/>
                <w:b/>
                <w:color w:val="FFFFFF"/>
                <w:sz w:val="24"/>
              </w:rPr>
            </w:pPr>
            <w:r>
              <w:rPr>
                <w:rFonts w:cs="Arial Bold" w:ascii="Arial Bold" w:hAnsi="Arial Bold"/>
                <w:b/>
                <w:color w:val="FFFFFF"/>
                <w:sz w:val="24"/>
              </w:rPr>
              <w:t>CAPACITY</w:t>
            </w:r>
          </w:p>
        </w:tc>
        <w:tc>
          <w:tcPr>
            <w:tcW w:w="281" w:type="dxa"/>
            <w:tcBorders/>
          </w:tcPr>
          <w:p>
            <w:pPr>
              <w:pStyle w:val="Normal"/>
              <w:snapToGrid w:val="false"/>
              <w:spacing w:before="120" w:after="120"/>
              <w:jc w:val="center"/>
              <w:rPr>
                <w:rFonts w:ascii="Arial Bold" w:hAnsi="Arial Bold" w:cs="Arial Bold"/>
                <w:b/>
                <w:color w:val="FFFFFF"/>
                <w:sz w:val="24"/>
              </w:rPr>
            </w:pPr>
            <w:r>
              <w:rPr>
                <w:rFonts w:cs="Arial Bold" w:ascii="Arial Bold" w:hAnsi="Arial Bold"/>
                <w:b/>
                <w:color w:val="FFFFFF"/>
                <w:sz w:val="24"/>
              </w:rPr>
            </w:r>
          </w:p>
        </w:tc>
        <w:tc>
          <w:tcPr>
            <w:tcW w:w="4530"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pPr>
            <w:r>
              <w:rPr/>
              <w:t>GENERATION</w:t>
            </w:r>
          </w:p>
        </w:tc>
      </w:tr>
      <w:tr>
        <w:trPr/>
        <w:tc>
          <w:tcPr>
            <w:tcW w:w="4536" w:type="dxa"/>
            <w:tcBorders>
              <w:start w:val="single" w:sz="6" w:space="0" w:color="000000"/>
              <w:end w:val="single" w:sz="6" w:space="0" w:color="000000"/>
            </w:tcBorders>
          </w:tcPr>
          <w:p>
            <w:pPr>
              <w:pStyle w:val="Normal"/>
              <w:keepNext w:val="true"/>
              <w:rPr/>
            </w:pPr>
            <w:hyperlink r:id="rId25">
              <w:r>
                <w:rPr>
                  <w:rStyle w:val="Hyperlink"/>
                  <w:vanish/>
                  <w:sz w:val="16"/>
                </w:rPr>
                <w:t>\\snyc14207\ProjFin\yellen\990920095.xls!TVA Capacity</w:t>
              </w:r>
            </w:hyperlink>
            <w:r>
              <w:rPr>
                <w:vanish/>
                <w:color w:val="FF0000"/>
                <w:sz w:val="16"/>
              </w:rPr>
              <w:t xml:space="preserve"> Height: 2.57" Width: 3.19"</w:t>
            </w:r>
          </w:p>
          <w:p>
            <w:pPr>
              <w:pStyle w:val="Normal"/>
              <w:rPr/>
            </w:pPr>
            <w:r>
              <w:rPr/>
              <w:drawing>
                <wp:inline distT="0" distB="0" distL="0" distR="0">
                  <wp:extent cx="2738120" cy="1820545"/>
                  <wp:effectExtent l="0" t="0" r="0" b="0"/>
                  <wp:docPr id="32"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 descr="" title=""/>
                          <pic:cNvPicPr>
                            <a:picLocks noChangeAspect="1" noChangeArrowheads="1"/>
                          </pic:cNvPicPr>
                        </pic:nvPicPr>
                        <pic:blipFill>
                          <a:blip r:embed="rId26"/>
                          <a:srcRect l="-7" t="-11" r="-7" b="-11"/>
                          <a:stretch>
                            <a:fillRect/>
                          </a:stretch>
                        </pic:blipFill>
                        <pic:spPr bwMode="auto">
                          <a:xfrm>
                            <a:off x="0" y="0"/>
                            <a:ext cx="2738120" cy="1820545"/>
                          </a:xfrm>
                          <a:prstGeom prst="rect">
                            <a:avLst/>
                          </a:prstGeom>
                          <a:noFill/>
                        </pic:spPr>
                      </pic:pic>
                    </a:graphicData>
                  </a:graphic>
                </wp:inline>
              </w:drawing>
            </w:r>
            <w:r>
              <w:rPr>
                <w:rStyle w:val="CommentReference"/>
                <w:vanish w:val="false"/>
              </w:rPr>
              <w:commentReference w:id="18"/>
            </w:r>
          </w:p>
        </w:tc>
        <w:tc>
          <w:tcPr>
            <w:tcW w:w="281" w:type="dxa"/>
            <w:tcBorders/>
          </w:tcPr>
          <w:p>
            <w:pPr>
              <w:pStyle w:val="Hidden"/>
              <w:snapToGrid w:val="false"/>
              <w:jc w:val="center"/>
              <w:rPr>
                <w:vanish w:val="false"/>
              </w:rPr>
            </w:pPr>
            <w:r>
              <w:rPr>
                <w:vanish w:val="false"/>
              </w:rPr>
            </w:r>
          </w:p>
        </w:tc>
        <w:tc>
          <w:tcPr>
            <w:tcW w:w="4530" w:type="dxa"/>
            <w:tcBorders>
              <w:start w:val="single" w:sz="6" w:space="0" w:color="000000"/>
              <w:end w:val="single" w:sz="6" w:space="0" w:color="000000"/>
            </w:tcBorders>
          </w:tcPr>
          <w:p>
            <w:pPr>
              <w:pStyle w:val="Normal"/>
              <w:keepNext w:val="true"/>
              <w:rPr/>
            </w:pPr>
            <w:hyperlink r:id="rId27">
              <w:r>
                <w:rPr>
                  <w:rStyle w:val="Hyperlink"/>
                  <w:vanish/>
                  <w:sz w:val="16"/>
                </w:rPr>
                <w:t>\\snyc14207\ProjFin\yellen\990920095.xls!TVA Generation</w:t>
              </w:r>
            </w:hyperlink>
            <w:r>
              <w:rPr>
                <w:vanish/>
                <w:color w:val="FF0000"/>
                <w:sz w:val="16"/>
              </w:rPr>
              <w:t xml:space="preserve"> Height: 2.6" Width: 3.18"</w:t>
            </w:r>
          </w:p>
          <w:p>
            <w:pPr>
              <w:pStyle w:val="Normal"/>
              <w:rPr/>
            </w:pPr>
            <w:r>
              <w:rPr/>
              <w:drawing>
                <wp:inline distT="0" distB="0" distL="0" distR="0">
                  <wp:extent cx="2731135" cy="1578610"/>
                  <wp:effectExtent l="0" t="0" r="0" b="0"/>
                  <wp:docPr id="33"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 descr="" title=""/>
                          <pic:cNvPicPr>
                            <a:picLocks noChangeAspect="1" noChangeArrowheads="1"/>
                          </pic:cNvPicPr>
                        </pic:nvPicPr>
                        <pic:blipFill>
                          <a:blip r:embed="rId28"/>
                          <a:srcRect l="-6" t="-13" r="-6" b="-13"/>
                          <a:stretch>
                            <a:fillRect/>
                          </a:stretch>
                        </pic:blipFill>
                        <pic:spPr bwMode="auto">
                          <a:xfrm>
                            <a:off x="0" y="0"/>
                            <a:ext cx="2731135" cy="1578610"/>
                          </a:xfrm>
                          <a:prstGeom prst="rect">
                            <a:avLst/>
                          </a:prstGeom>
                          <a:noFill/>
                        </pic:spPr>
                      </pic:pic>
                    </a:graphicData>
                  </a:graphic>
                </wp:inline>
              </w:drawing>
            </w:r>
            <w:r>
              <w:rPr>
                <w:rStyle w:val="CommentReference"/>
                <w:vanish w:val="false"/>
              </w:rPr>
              <w:commentReference w:id="19"/>
            </w:r>
          </w:p>
        </w:tc>
      </w:tr>
      <w:tr>
        <w:trPr/>
        <w:tc>
          <w:tcPr>
            <w:tcW w:w="4536" w:type="dxa"/>
            <w:tcBorders>
              <w:top w:val="single" w:sz="6" w:space="0" w:color="000000"/>
            </w:tcBorders>
          </w:tcPr>
          <w:p>
            <w:pPr>
              <w:pStyle w:val="T0"/>
              <w:spacing w:before="60" w:after="0"/>
              <w:jc w:val="center"/>
              <w:rPr>
                <w:b/>
              </w:rPr>
            </w:pPr>
            <w:r>
              <w:rPr>
                <w:b/>
              </w:rPr>
              <w:t>Total Capacity = 30 GW</w:t>
            </w:r>
          </w:p>
        </w:tc>
        <w:tc>
          <w:tcPr>
            <w:tcW w:w="281" w:type="dxa"/>
            <w:tcBorders/>
          </w:tcPr>
          <w:p>
            <w:pPr>
              <w:pStyle w:val="Heading2"/>
              <w:snapToGrid w:val="false"/>
              <w:spacing w:before="60" w:after="0"/>
              <w:ind w:hanging="0" w:start="0"/>
              <w:rPr>
                <w:b/>
              </w:rPr>
            </w:pPr>
            <w:r>
              <w:rPr>
                <w:b/>
              </w:rPr>
            </w:r>
          </w:p>
        </w:tc>
        <w:tc>
          <w:tcPr>
            <w:tcW w:w="4530" w:type="dxa"/>
            <w:tcBorders>
              <w:top w:val="single" w:sz="6" w:space="0" w:color="000000"/>
            </w:tcBorders>
          </w:tcPr>
          <w:p>
            <w:pPr>
              <w:pStyle w:val="Heading2"/>
              <w:spacing w:before="60" w:after="0"/>
              <w:ind w:hanging="0" w:start="0"/>
              <w:rPr/>
            </w:pPr>
            <w:r>
              <w:rPr/>
              <w:t>Total Internal Generation = 159 BkWh</w:t>
            </w:r>
            <w:r>
              <w:rPr>
                <w:rStyle w:val="CommentReference"/>
                <w:b/>
                <w:vanish w:val="false"/>
              </w:rPr>
              <w:commentReference w:id="20"/>
            </w:r>
          </w:p>
        </w:tc>
      </w:tr>
      <w:tr>
        <w:trPr/>
        <w:tc>
          <w:tcPr>
            <w:tcW w:w="9360" w:type="dxa"/>
            <w:gridSpan w:val="3"/>
            <w:tcBorders/>
          </w:tcPr>
          <w:p>
            <w:pPr>
              <w:pStyle w:val="BodyText"/>
              <w:spacing w:before="160" w:after="0"/>
              <w:ind w:hanging="475" w:start="475" w:end="0"/>
              <w:rPr/>
            </w:pPr>
            <w:r>
              <w:rPr>
                <w:i/>
                <w:sz w:val="16"/>
              </w:rPr>
              <w:t>Note:</w:t>
            </w:r>
            <w:r>
              <w:rPr>
                <w:sz w:val="16"/>
              </w:rPr>
              <w:t xml:space="preserve">  Capacity physically located in TVA region, but counting toward other regions is not included in the capacity mix.  Totals may not add due to rounding</w:t>
            </w:r>
          </w:p>
          <w:p>
            <w:pPr>
              <w:pStyle w:val="A0b"/>
              <w:numPr>
                <w:ilvl w:val="0"/>
                <w:numId w:val="0"/>
              </w:numPr>
              <w:spacing w:before="36" w:after="0"/>
              <w:ind w:hanging="0" w:start="0"/>
              <w:rPr/>
            </w:pPr>
            <w:r>
              <w:rPr>
                <w:i/>
                <w:sz w:val="16"/>
              </w:rPr>
              <w:t>Source</w:t>
            </w:r>
            <w:r>
              <w:rPr>
                <w:sz w:val="16"/>
              </w:rPr>
              <w:t>:  ICF Base Case Forecast for the year 2000.</w:t>
            </w:r>
          </w:p>
        </w:tc>
      </w:tr>
    </w:tbl>
    <w:p>
      <w:pPr>
        <w:pStyle w:val="Normal"/>
        <w:rPr/>
      </w:pPr>
      <w:r>
        <w:rPr/>
      </w:r>
    </w:p>
    <w:p>
      <w:pPr>
        <w:pStyle w:val="HdLet0"/>
        <w:rPr/>
      </w:pPr>
      <w:r>
        <w:rPr/>
        <w:t>C.</w:t>
        <w:tab/>
        <w:t>TVA Transmission Overview</w:t>
      </w:r>
    </w:p>
    <w:p>
      <w:pPr>
        <w:pStyle w:val="A0b"/>
        <w:numPr>
          <w:ilvl w:val="0"/>
          <w:numId w:val="6"/>
        </w:numPr>
        <w:ind w:hanging="0" w:start="0"/>
        <w:rPr/>
      </w:pPr>
      <w:r>
        <w:drawing>
          <wp:anchor behindDoc="0" distT="0" distB="0" distL="114935" distR="114935" simplePos="0" locked="0" layoutInCell="0" allowOverlap="1" relativeHeight="21">
            <wp:simplePos x="0" y="0"/>
            <wp:positionH relativeFrom="column">
              <wp:posOffset>-137160</wp:posOffset>
            </wp:positionH>
            <wp:positionV relativeFrom="paragraph">
              <wp:posOffset>803910</wp:posOffset>
            </wp:positionV>
            <wp:extent cx="4562475" cy="3419475"/>
            <wp:effectExtent l="0" t="0" r="0" b="0"/>
            <wp:wrapTopAndBottom/>
            <wp:docPr id="3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 descr="" title=""/>
                    <pic:cNvPicPr>
                      <a:picLocks noChangeAspect="1" noChangeArrowheads="1"/>
                    </pic:cNvPicPr>
                  </pic:nvPicPr>
                  <pic:blipFill>
                    <a:blip r:embed="rId29"/>
                    <a:srcRect l="-8" t="-11" r="-8" b="-11"/>
                    <a:stretch>
                      <a:fillRect/>
                    </a:stretch>
                  </pic:blipFill>
                  <pic:spPr bwMode="auto">
                    <a:xfrm>
                      <a:off x="0" y="0"/>
                      <a:ext cx="4562475" cy="3419475"/>
                    </a:xfrm>
                    <a:prstGeom prst="rect">
                      <a:avLst/>
                    </a:prstGeom>
                    <a:noFill/>
                  </pic:spPr>
                </pic:pic>
              </a:graphicData>
            </a:graphic>
          </wp:anchor>
        </w:drawing>
      </w:r>
      <w:r>
        <w:rPr/>
        <w:t>TVA is the most centrally located power market area in the U.S. and has the greatest interconnections with other regions in the Eastern Interconnect.</w:t>
      </w:r>
    </w:p>
    <w:p>
      <w:pPr>
        <w:pStyle w:val="Heading9"/>
        <w:rPr>
          <w:color w:val="auto"/>
        </w:rPr>
      </w:pPr>
      <w:r>
        <w:rPr/>
        <w:t>PresTech K:\Adobe\April_tif\Project Finance Emron.tif</w:t>
      </w:r>
    </w:p>
    <w:p>
      <w:pPr>
        <w:pStyle w:val="Normal"/>
        <w:spacing w:before="120" w:after="120"/>
        <w:ind w:start="720" w:end="0"/>
        <w:rPr>
          <w:color w:val="auto"/>
          <w:sz w:val="24"/>
        </w:rPr>
      </w:pPr>
      <w:r>
        <w:rPr>
          <w:color w:val="auto"/>
          <w:sz w:val="24"/>
        </w:rPr>
      </w:r>
    </w:p>
    <w:p>
      <w:pPr>
        <w:pStyle w:val="A0b"/>
        <w:numPr>
          <w:ilvl w:val="0"/>
          <w:numId w:val="6"/>
        </w:numPr>
        <w:ind w:hanging="0" w:start="0"/>
        <w:rPr/>
      </w:pPr>
      <w:r>
        <w:rPr/>
        <w:t>The primary interconnections between TVA and neighboring systems consist of ties to the following utilities:</w:t>
      </w:r>
    </w:p>
    <w:p>
      <w:pPr>
        <w:pStyle w:val="B0bbox"/>
        <w:numPr>
          <w:ilvl w:val="0"/>
          <w:numId w:val="9"/>
        </w:numPr>
        <w:rPr/>
      </w:pPr>
      <w:r>
        <w:rPr/>
        <w:t>ECAR – AEP/Appalachian Power, Big Rivers, Kentucky Utilities, East Kentucky Power Coop, and Louisville Gas &amp; Electric</w:t>
      </w:r>
    </w:p>
    <w:p>
      <w:pPr>
        <w:pStyle w:val="B0bbox"/>
        <w:numPr>
          <w:ilvl w:val="0"/>
          <w:numId w:val="9"/>
        </w:numPr>
        <w:rPr/>
      </w:pPr>
      <w:r>
        <w:rPr/>
        <w:t>VACAR – Duke Power, Carolina Power &amp; Light</w:t>
      </w:r>
    </w:p>
    <w:p>
      <w:pPr>
        <w:pStyle w:val="B0bbox"/>
        <w:numPr>
          <w:ilvl w:val="0"/>
          <w:numId w:val="9"/>
        </w:numPr>
        <w:rPr/>
      </w:pPr>
      <w:r>
        <w:rPr/>
        <w:t>ENTERGY – Arkansas Power &amp; Light, Mississippi Power &amp; Light</w:t>
      </w:r>
    </w:p>
    <w:p>
      <w:pPr>
        <w:pStyle w:val="B0bbox"/>
        <w:numPr>
          <w:ilvl w:val="0"/>
          <w:numId w:val="9"/>
        </w:numPr>
        <w:rPr/>
      </w:pPr>
      <w:r>
        <w:rPr/>
        <w:t>MAIN – Central Illinois Public Service, Illinois Power and Union Electric</w:t>
      </w:r>
    </w:p>
    <w:p>
      <w:pPr>
        <w:pStyle w:val="B0bbox"/>
        <w:numPr>
          <w:ilvl w:val="0"/>
          <w:numId w:val="9"/>
        </w:numPr>
        <w:rPr/>
      </w:pPr>
      <w:r>
        <w:rPr/>
        <w:t>Southern – Alabama Power and Georgia Power</w:t>
      </w:r>
    </w:p>
    <w:p>
      <w:pPr>
        <w:pStyle w:val="HdLet0"/>
        <w:rPr/>
      </w:pPr>
      <w:r>
        <w:rPr/>
        <w:t>D.</w:t>
        <w:tab/>
        <w:t>TVA Historical Prices</w:t>
      </w:r>
    </w:p>
    <w:p>
      <w:pPr>
        <w:pStyle w:val="A0b"/>
        <w:numPr>
          <w:ilvl w:val="0"/>
          <w:numId w:val="6"/>
        </w:numPr>
        <w:ind w:hanging="0" w:start="0"/>
        <w:rPr/>
      </w:pPr>
      <w:r>
        <w:rPr/>
        <w:t>Electrical energy prices in all of SERC have historically been lower than neighboring regions to the North.</w:t>
      </w:r>
    </w:p>
    <w:p>
      <w:pPr>
        <w:pStyle w:val="A0b"/>
        <w:numPr>
          <w:ilvl w:val="0"/>
          <w:numId w:val="6"/>
        </w:numPr>
        <w:ind w:hanging="0" w:start="0"/>
        <w:rPr/>
      </w:pPr>
      <w:r>
        <w:rPr/>
        <w:t>TVA has relatively large total interconnections associated with its central location. Import and export capability is about two thirds of average demand and some lines may be upgraded, further increasing transmission access.</w:t>
      </w:r>
    </w:p>
    <w:p>
      <w:pPr>
        <w:pStyle w:val="A0b"/>
        <w:numPr>
          <w:ilvl w:val="0"/>
          <w:numId w:val="6"/>
        </w:numPr>
        <w:ind w:hanging="0" w:start="0"/>
        <w:rPr/>
      </w:pPr>
      <w:r>
        <w:rPr/>
        <w:t xml:space="preserve">Prices jumped between the summers of 1997 and 1998 as the market has come into full balance.  In 1999, prices were again </w:t>
      </w:r>
      <w:r>
        <w:rPr>
          <w:rStyle w:val="CommentReference"/>
          <w:vanish w:val="false"/>
        </w:rPr>
        <w:commentReference w:id="21"/>
      </w:r>
      <w:r>
        <w:rPr/>
        <w:t>high.</w:t>
      </w:r>
    </w:p>
    <w:p>
      <w:pPr>
        <w:pStyle w:val="A0b"/>
        <w:numPr>
          <w:ilvl w:val="0"/>
          <w:numId w:val="6"/>
        </w:numPr>
        <w:ind w:hanging="0" w:start="0"/>
        <w:rPr/>
      </w:pPr>
      <w:r>
        <w:rPr/>
        <w:t>The impact of the capacity situation in MAIN and Southern ECAR is also reflected in the peak prices in TVA.</w:t>
      </w:r>
    </w:p>
    <w:p>
      <w:pPr>
        <w:pStyle w:val="A0b"/>
        <w:numPr>
          <w:ilvl w:val="0"/>
          <w:numId w:val="0"/>
        </w:numPr>
        <w:ind w:hanging="0" w:start="1800" w:end="0"/>
        <w:rPr/>
      </w:pPr>
      <w:r>
        <w:rPr/>
      </w:r>
    </w:p>
    <w:tbl>
      <w:tblPr>
        <w:tblW w:w="7142" w:type="dxa"/>
        <w:jc w:val="start"/>
        <w:tblInd w:w="1440" w:type="dxa"/>
        <w:tblLayout w:type="fixed"/>
        <w:tblCellMar>
          <w:top w:w="0" w:type="dxa"/>
          <w:start w:w="0" w:type="dxa"/>
          <w:bottom w:w="0" w:type="dxa"/>
          <w:end w:w="0" w:type="dxa"/>
        </w:tblCellMar>
      </w:tblPr>
      <w:tblGrid>
        <w:gridCol w:w="3110"/>
        <w:gridCol w:w="1008"/>
        <w:gridCol w:w="1008"/>
        <w:gridCol w:w="1008"/>
        <w:gridCol w:w="976"/>
        <w:gridCol w:w="32"/>
      </w:tblGrid>
      <w:tr>
        <w:trPr/>
        <w:tc>
          <w:tcPr>
            <w:tcW w:w="7110" w:type="dxa"/>
            <w:gridSpan w:val="5"/>
            <w:tcBorders/>
          </w:tcPr>
          <w:p>
            <w:pPr>
              <w:pStyle w:val="Ttel1"/>
              <w:keepNext w:val="true"/>
              <w:spacing w:before="0" w:after="0"/>
              <w:rPr/>
            </w:pPr>
            <w:r>
              <w:rPr/>
              <w:t xml:space="preserve">TVA/ SERC Historical Energy Prices </w:t>
            </w:r>
          </w:p>
          <w:p>
            <w:pPr>
              <w:pStyle w:val="Ttel1"/>
              <w:keepNext w:val="true"/>
              <w:spacing w:before="0" w:after="0"/>
              <w:rPr>
                <w:b w:val="false"/>
                <w:i/>
                <w:i/>
                <w:sz w:val="18"/>
              </w:rPr>
            </w:pPr>
            <w:r>
              <w:rPr/>
              <w:t>(</w:t>
            </w:r>
            <w:r>
              <w:rPr>
                <w:i/>
              </w:rPr>
              <w:t>1998$/MWh)</w:t>
            </w:r>
          </w:p>
        </w:tc>
        <w:tc>
          <w:tcPr>
            <w:tcW w:w="32" w:type="dxa"/>
            <w:tcBorders/>
          </w:tcPr>
          <w:p>
            <w:pPr>
              <w:pStyle w:val="Normal"/>
              <w:snapToGrid w:val="false"/>
              <w:rPr>
                <w:b w:val="false"/>
                <w:i/>
                <w:i/>
                <w:sz w:val="18"/>
              </w:rPr>
            </w:pPr>
            <w:r>
              <w:rPr>
                <w:b w:val="false"/>
                <w:i/>
                <w:sz w:val="18"/>
              </w:rPr>
            </w:r>
          </w:p>
        </w:tc>
      </w:tr>
      <w:tr>
        <w:trPr/>
        <w:tc>
          <w:tcPr>
            <w:tcW w:w="3110" w:type="dxa"/>
            <w:tcBorders>
              <w:top w:val="single" w:sz="18" w:space="0" w:color="000000"/>
            </w:tcBorders>
            <w:vAlign w:val="bottom"/>
          </w:tcPr>
          <w:p>
            <w:pPr>
              <w:pStyle w:val="Normal"/>
              <w:keepNext w:val="true"/>
              <w:snapToGrid w:val="false"/>
              <w:spacing w:before="36" w:after="36"/>
              <w:rPr>
                <w:b w:val="false"/>
                <w:i/>
                <w:i/>
                <w:sz w:val="16"/>
              </w:rPr>
            </w:pPr>
            <w:r>
              <w:rPr>
                <w:b w:val="false"/>
                <w:i/>
                <w:sz w:val="16"/>
              </w:rPr>
            </w:r>
          </w:p>
        </w:tc>
        <w:tc>
          <w:tcPr>
            <w:tcW w:w="4032" w:type="dxa"/>
            <w:gridSpan w:val="5"/>
            <w:tcBorders>
              <w:top w:val="single" w:sz="18" w:space="0" w:color="000000"/>
            </w:tcBorders>
          </w:tcPr>
          <w:p>
            <w:pPr>
              <w:pStyle w:val="Normal"/>
              <w:keepNext w:val="true"/>
              <w:pBdr>
                <w:bottom w:val="single" w:sz="4" w:space="1" w:color="000000"/>
              </w:pBdr>
              <w:spacing w:before="36" w:after="36"/>
              <w:ind w:start="288" w:end="288"/>
              <w:jc w:val="center"/>
              <w:rPr>
                <w:sz w:val="16"/>
              </w:rPr>
            </w:pPr>
            <w:r>
              <w:rPr>
                <w:sz w:val="16"/>
              </w:rPr>
              <w:t>HISTORICAL</w:t>
            </w:r>
          </w:p>
        </w:tc>
      </w:tr>
      <w:tr>
        <w:trPr/>
        <w:tc>
          <w:tcPr>
            <w:tcW w:w="3110" w:type="dxa"/>
            <w:tcBorders>
              <w:bottom w:val="single" w:sz="4" w:space="0" w:color="000000"/>
            </w:tcBorders>
            <w:vAlign w:val="bottom"/>
          </w:tcPr>
          <w:p>
            <w:pPr>
              <w:pStyle w:val="Normal"/>
              <w:keepNext w:val="true"/>
              <w:snapToGrid w:val="false"/>
              <w:spacing w:before="36" w:after="36"/>
              <w:rPr>
                <w:sz w:val="16"/>
              </w:rPr>
            </w:pPr>
            <w:r>
              <w:rPr>
                <w:sz w:val="16"/>
              </w:rPr>
            </w:r>
          </w:p>
        </w:tc>
        <w:tc>
          <w:tcPr>
            <w:tcW w:w="1008" w:type="dxa"/>
            <w:tcBorders>
              <w:bottom w:val="single" w:sz="4" w:space="0" w:color="000000"/>
            </w:tcBorders>
          </w:tcPr>
          <w:p>
            <w:pPr>
              <w:pStyle w:val="Normal"/>
              <w:keepNext w:val="true"/>
              <w:spacing w:before="36" w:after="36"/>
              <w:jc w:val="center"/>
              <w:rPr>
                <w:sz w:val="16"/>
              </w:rPr>
            </w:pPr>
            <w:r>
              <w:rPr>
                <w:sz w:val="16"/>
              </w:rPr>
              <w:t>1996</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1997</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1998</w:t>
            </w:r>
          </w:p>
        </w:tc>
        <w:tc>
          <w:tcPr>
            <w:tcW w:w="1008" w:type="dxa"/>
            <w:gridSpan w:val="2"/>
            <w:tcBorders>
              <w:bottom w:val="single" w:sz="4" w:space="0" w:color="000000"/>
            </w:tcBorders>
            <w:vAlign w:val="bottom"/>
          </w:tcPr>
          <w:p>
            <w:pPr>
              <w:pStyle w:val="Normal"/>
              <w:keepNext w:val="true"/>
              <w:spacing w:before="36" w:after="36"/>
              <w:jc w:val="center"/>
              <w:rPr>
                <w:sz w:val="16"/>
              </w:rPr>
            </w:pPr>
            <w:r>
              <w:rPr>
                <w:sz w:val="16"/>
              </w:rPr>
              <w:t>1999</w:t>
            </w:r>
          </w:p>
        </w:tc>
      </w:tr>
      <w:tr>
        <w:trPr>
          <w:trHeight w:val="480" w:hRule="atLeast"/>
        </w:trPr>
        <w:tc>
          <w:tcPr>
            <w:tcW w:w="3110" w:type="dxa"/>
            <w:tcBorders/>
          </w:tcPr>
          <w:p>
            <w:pPr>
              <w:pStyle w:val="T0"/>
              <w:keepNext w:val="true"/>
              <w:spacing w:before="36" w:after="36"/>
              <w:rPr/>
            </w:pPr>
            <w:r>
              <w:rPr/>
              <w:t>PMW–Into TVA</w:t>
            </w:r>
            <w:r>
              <w:rPr>
                <w:rStyle w:val="CommentReference"/>
                <w:vanish w:val="false"/>
              </w:rPr>
              <w:commentReference w:id="22"/>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gridSpan w:val="2"/>
            <w:tcBorders/>
          </w:tcPr>
          <w:p>
            <w:pPr>
              <w:pStyle w:val="Normal"/>
              <w:keepNext w:val="true"/>
              <w:tabs>
                <w:tab w:val="clear" w:pos="720"/>
                <w:tab w:val="decimal" w:pos="619" w:leader="none"/>
              </w:tabs>
              <w:snapToGrid w:val="false"/>
              <w:spacing w:before="36" w:after="36"/>
              <w:rPr/>
            </w:pPr>
            <w:r>
              <w:rPr/>
            </w:r>
          </w:p>
        </w:tc>
      </w:tr>
      <w:tr>
        <w:trPr>
          <w:trHeight w:val="480"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T0"/>
              <w:keepNext w:val="true"/>
              <w:tabs>
                <w:tab w:val="clear" w:pos="720"/>
                <w:tab w:val="decimal" w:pos="652" w:leader="none"/>
              </w:tabs>
              <w:spacing w:before="36" w:after="36"/>
              <w:rPr>
                <w:rFonts w:ascii="Times New Roman" w:hAnsi="Times New Roman" w:cs="Times New Roman"/>
              </w:rPr>
            </w:pPr>
            <w:r>
              <w:rPr>
                <w:rFonts w:cs="Times New Roman" w:ascii="Times New Roman" w:hAnsi="Times New Roman"/>
              </w:rPr>
              <w:t>NA</w:t>
            </w:r>
          </w:p>
        </w:tc>
        <w:tc>
          <w:tcPr>
            <w:tcW w:w="1008" w:type="dxa"/>
            <w:tcBorders/>
          </w:tcPr>
          <w:p>
            <w:pPr>
              <w:pStyle w:val="Normal"/>
              <w:keepNext w:val="true"/>
              <w:tabs>
                <w:tab w:val="clear" w:pos="720"/>
                <w:tab w:val="decimal" w:pos="619" w:leader="none"/>
              </w:tabs>
              <w:spacing w:before="36" w:after="36"/>
              <w:rPr/>
            </w:pPr>
            <w:r>
              <w:rPr/>
              <w:t>27.6</w:t>
            </w:r>
          </w:p>
        </w:tc>
        <w:tc>
          <w:tcPr>
            <w:tcW w:w="1008" w:type="dxa"/>
            <w:tcBorders/>
          </w:tcPr>
          <w:p>
            <w:pPr>
              <w:pStyle w:val="Normal"/>
              <w:keepNext w:val="true"/>
              <w:tabs>
                <w:tab w:val="clear" w:pos="720"/>
                <w:tab w:val="decimal" w:pos="619" w:leader="none"/>
              </w:tabs>
              <w:spacing w:before="36" w:after="36"/>
              <w:rPr/>
            </w:pPr>
            <w:r>
              <w:rPr/>
              <w:t>55.8</w:t>
            </w:r>
          </w:p>
        </w:tc>
        <w:tc>
          <w:tcPr>
            <w:tcW w:w="1008" w:type="dxa"/>
            <w:gridSpan w:val="2"/>
            <w:tcBorders/>
          </w:tcPr>
          <w:p>
            <w:pPr>
              <w:pStyle w:val="Normal"/>
              <w:keepNext w:val="true"/>
              <w:tabs>
                <w:tab w:val="clear" w:pos="720"/>
                <w:tab w:val="decimal" w:pos="619" w:leader="none"/>
              </w:tabs>
              <w:spacing w:before="36" w:after="36"/>
              <w:rPr/>
            </w:pPr>
            <w:r>
              <w:rPr/>
              <w:t>51.0</w:t>
            </w:r>
          </w:p>
        </w:tc>
      </w:tr>
      <w:tr>
        <w:trPr>
          <w:trHeight w:val="480" w:hRule="atLeast"/>
        </w:trPr>
        <w:tc>
          <w:tcPr>
            <w:tcW w:w="3110" w:type="dxa"/>
            <w:tcBorders/>
          </w:tcPr>
          <w:p>
            <w:pPr>
              <w:pStyle w:val="Normal"/>
              <w:keepNext w:val="true"/>
              <w:spacing w:before="36" w:after="216"/>
              <w:ind w:start="360" w:end="0"/>
              <w:rPr/>
            </w:pPr>
            <w:r>
              <w:rPr/>
              <w:t>High</w:t>
            </w:r>
          </w:p>
        </w:tc>
        <w:tc>
          <w:tcPr>
            <w:tcW w:w="1008" w:type="dxa"/>
            <w:tcBorders/>
          </w:tcPr>
          <w:p>
            <w:pPr>
              <w:pStyle w:val="Normal"/>
              <w:keepNext w:val="true"/>
              <w:tabs>
                <w:tab w:val="clear" w:pos="720"/>
                <w:tab w:val="decimal" w:pos="652" w:leader="none"/>
              </w:tabs>
              <w:spacing w:before="36" w:after="216"/>
              <w:rPr/>
            </w:pPr>
            <w:r>
              <w:rPr/>
              <w:t>NA</w:t>
            </w:r>
          </w:p>
        </w:tc>
        <w:tc>
          <w:tcPr>
            <w:tcW w:w="1008" w:type="dxa"/>
            <w:tcBorders/>
          </w:tcPr>
          <w:p>
            <w:pPr>
              <w:pStyle w:val="Normal"/>
              <w:keepNext w:val="true"/>
              <w:tabs>
                <w:tab w:val="clear" w:pos="720"/>
                <w:tab w:val="decimal" w:pos="619" w:leader="none"/>
              </w:tabs>
              <w:spacing w:before="36" w:after="216"/>
              <w:rPr/>
            </w:pPr>
            <w:r>
              <w:rPr/>
              <w:t>130.7</w:t>
            </w:r>
          </w:p>
        </w:tc>
        <w:tc>
          <w:tcPr>
            <w:tcW w:w="1008" w:type="dxa"/>
            <w:tcBorders/>
          </w:tcPr>
          <w:p>
            <w:pPr>
              <w:pStyle w:val="Normal"/>
              <w:keepNext w:val="true"/>
              <w:tabs>
                <w:tab w:val="clear" w:pos="720"/>
                <w:tab w:val="decimal" w:pos="619" w:leader="none"/>
              </w:tabs>
              <w:spacing w:before="36" w:after="216"/>
              <w:rPr/>
            </w:pPr>
            <w:r>
              <w:rPr/>
              <w:t>697.7</w:t>
            </w:r>
          </w:p>
        </w:tc>
        <w:tc>
          <w:tcPr>
            <w:tcW w:w="1008" w:type="dxa"/>
            <w:gridSpan w:val="2"/>
            <w:tcBorders/>
          </w:tcPr>
          <w:p>
            <w:pPr>
              <w:pStyle w:val="Normal"/>
              <w:keepNext w:val="true"/>
              <w:tabs>
                <w:tab w:val="clear" w:pos="720"/>
                <w:tab w:val="decimal" w:pos="619" w:leader="none"/>
              </w:tabs>
              <w:spacing w:before="36" w:after="216"/>
              <w:rPr/>
            </w:pPr>
            <w:r>
              <w:rPr/>
              <w:t>1,012.2</w:t>
            </w:r>
          </w:p>
        </w:tc>
      </w:tr>
      <w:tr>
        <w:trPr>
          <w:trHeight w:val="480" w:hRule="atLeast"/>
        </w:trPr>
        <w:tc>
          <w:tcPr>
            <w:tcW w:w="3110" w:type="dxa"/>
            <w:tcBorders/>
          </w:tcPr>
          <w:p>
            <w:pPr>
              <w:pStyle w:val="Normal"/>
              <w:keepNext w:val="true"/>
              <w:spacing w:before="36" w:after="216"/>
              <w:ind w:start="360" w:end="0"/>
              <w:rPr/>
            </w:pPr>
            <w:r>
              <w:rPr/>
              <w:t>Average Summer</w:t>
            </w:r>
            <w:r>
              <w:rPr>
                <w:vertAlign w:val="superscript"/>
              </w:rPr>
              <w:t>2</w:t>
            </w:r>
            <w:r>
              <w:rPr/>
              <w:t xml:space="preserve"> Peak</w:t>
            </w:r>
            <w:r>
              <w:rPr>
                <w:rStyle w:val="CommentReference"/>
                <w:rFonts w:cs="Arial" w:ascii="Arial" w:hAnsi="Arial"/>
                <w:vanish w:val="false"/>
              </w:rPr>
              <w:commentReference w:id="23"/>
            </w:r>
          </w:p>
        </w:tc>
        <w:tc>
          <w:tcPr>
            <w:tcW w:w="1008" w:type="dxa"/>
            <w:tcBorders/>
          </w:tcPr>
          <w:p>
            <w:pPr>
              <w:pStyle w:val="Normal"/>
              <w:keepNext w:val="true"/>
              <w:tabs>
                <w:tab w:val="clear" w:pos="720"/>
                <w:tab w:val="decimal" w:pos="652" w:leader="none"/>
              </w:tabs>
              <w:spacing w:before="36" w:after="216"/>
              <w:rPr/>
            </w:pPr>
            <w:r>
              <w:rPr/>
              <w:t>NA</w:t>
            </w:r>
          </w:p>
        </w:tc>
        <w:tc>
          <w:tcPr>
            <w:tcW w:w="1008" w:type="dxa"/>
            <w:tcBorders/>
          </w:tcPr>
          <w:p>
            <w:pPr>
              <w:pStyle w:val="Normal"/>
              <w:keepNext w:val="true"/>
              <w:tabs>
                <w:tab w:val="clear" w:pos="720"/>
                <w:tab w:val="decimal" w:pos="619" w:leader="none"/>
              </w:tabs>
              <w:spacing w:before="36" w:after="216"/>
              <w:rPr/>
            </w:pPr>
            <w:r>
              <w:rPr/>
              <w:t>36.1</w:t>
            </w:r>
          </w:p>
        </w:tc>
        <w:tc>
          <w:tcPr>
            <w:tcW w:w="1008" w:type="dxa"/>
            <w:tcBorders/>
          </w:tcPr>
          <w:p>
            <w:pPr>
              <w:pStyle w:val="Normal"/>
              <w:keepNext w:val="true"/>
              <w:tabs>
                <w:tab w:val="clear" w:pos="720"/>
                <w:tab w:val="decimal" w:pos="619" w:leader="none"/>
              </w:tabs>
              <w:spacing w:before="36" w:after="216"/>
              <w:rPr/>
            </w:pPr>
            <w:r>
              <w:rPr/>
              <w:t>145.0</w:t>
            </w:r>
          </w:p>
        </w:tc>
        <w:tc>
          <w:tcPr>
            <w:tcW w:w="1008" w:type="dxa"/>
            <w:gridSpan w:val="2"/>
            <w:tcBorders/>
          </w:tcPr>
          <w:p>
            <w:pPr>
              <w:pStyle w:val="Normal"/>
              <w:keepNext w:val="true"/>
              <w:tabs>
                <w:tab w:val="clear" w:pos="720"/>
                <w:tab w:val="decimal" w:pos="619" w:leader="none"/>
              </w:tabs>
              <w:spacing w:before="36" w:after="216"/>
              <w:rPr/>
            </w:pPr>
            <w:r>
              <w:rPr/>
              <w:t>139.4</w:t>
            </w:r>
          </w:p>
        </w:tc>
      </w:tr>
      <w:tr>
        <w:trPr>
          <w:trHeight w:val="460" w:hRule="atLeast"/>
        </w:trPr>
        <w:tc>
          <w:tcPr>
            <w:tcW w:w="3110" w:type="dxa"/>
            <w:tcBorders/>
          </w:tcPr>
          <w:p>
            <w:pPr>
              <w:pStyle w:val="T0"/>
              <w:keepNext w:val="true"/>
              <w:spacing w:before="36" w:after="36"/>
              <w:rPr/>
            </w:pPr>
            <w:r>
              <w:rPr/>
              <w:t>PMW–SERC</w:t>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gridSpan w:val="2"/>
            <w:tcBorders/>
          </w:tcPr>
          <w:p>
            <w:pPr>
              <w:pStyle w:val="Normal"/>
              <w:keepNext w:val="true"/>
              <w:tabs>
                <w:tab w:val="clear" w:pos="720"/>
                <w:tab w:val="decimal" w:pos="619" w:leader="none"/>
              </w:tabs>
              <w:snapToGrid w:val="false"/>
              <w:spacing w:before="36" w:after="36"/>
              <w:rPr/>
            </w:pPr>
            <w:r>
              <w:rPr/>
            </w:r>
          </w:p>
        </w:tc>
      </w:tr>
      <w:tr>
        <w:trPr>
          <w:trHeight w:val="460"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Normal"/>
              <w:keepNext w:val="true"/>
              <w:tabs>
                <w:tab w:val="clear" w:pos="720"/>
                <w:tab w:val="decimal" w:pos="619" w:leader="none"/>
              </w:tabs>
              <w:spacing w:before="36" w:after="36"/>
              <w:rPr/>
            </w:pPr>
            <w:r>
              <w:rPr/>
              <w:t>25.0</w:t>
            </w:r>
          </w:p>
        </w:tc>
        <w:tc>
          <w:tcPr>
            <w:tcW w:w="1008" w:type="dxa"/>
            <w:tcBorders/>
          </w:tcPr>
          <w:p>
            <w:pPr>
              <w:pStyle w:val="Normal"/>
              <w:keepNext w:val="true"/>
              <w:tabs>
                <w:tab w:val="clear" w:pos="720"/>
                <w:tab w:val="decimal" w:pos="619" w:leader="none"/>
              </w:tabs>
              <w:spacing w:before="36" w:after="36"/>
              <w:rPr/>
            </w:pPr>
            <w:r>
              <w:rPr/>
              <w:t>26.3</w:t>
            </w:r>
          </w:p>
        </w:tc>
        <w:tc>
          <w:tcPr>
            <w:tcW w:w="1008" w:type="dxa"/>
            <w:tcBorders/>
          </w:tcPr>
          <w:p>
            <w:pPr>
              <w:pStyle w:val="Normal"/>
              <w:keepNext w:val="true"/>
              <w:tabs>
                <w:tab w:val="clear" w:pos="720"/>
                <w:tab w:val="decimal" w:pos="619" w:leader="none"/>
              </w:tabs>
              <w:spacing w:before="36" w:after="36"/>
              <w:rPr/>
            </w:pPr>
            <w:r>
              <w:rPr/>
              <w:t>51.2</w:t>
            </w:r>
          </w:p>
        </w:tc>
        <w:tc>
          <w:tcPr>
            <w:tcW w:w="1008" w:type="dxa"/>
            <w:gridSpan w:val="2"/>
            <w:tcBorders/>
          </w:tcPr>
          <w:p>
            <w:pPr>
              <w:pStyle w:val="Normal"/>
              <w:keepNext w:val="true"/>
              <w:tabs>
                <w:tab w:val="clear" w:pos="720"/>
                <w:tab w:val="decimal" w:pos="619" w:leader="none"/>
              </w:tabs>
              <w:spacing w:before="36" w:after="36"/>
              <w:rPr/>
            </w:pPr>
            <w:r>
              <w:rPr/>
              <w:t>50.6</w:t>
            </w:r>
          </w:p>
        </w:tc>
      </w:tr>
      <w:tr>
        <w:trPr>
          <w:trHeight w:val="460" w:hRule="atLeast"/>
        </w:trPr>
        <w:tc>
          <w:tcPr>
            <w:tcW w:w="3110" w:type="dxa"/>
            <w:tcBorders/>
            <w:vAlign w:val="center"/>
          </w:tcPr>
          <w:p>
            <w:pPr>
              <w:pStyle w:val="Normal"/>
              <w:keepNext w:val="true"/>
              <w:spacing w:before="36" w:after="36"/>
              <w:ind w:start="360" w:end="0"/>
              <w:rPr/>
            </w:pPr>
            <w:r>
              <w:rPr/>
              <w:t>High</w:t>
            </w:r>
          </w:p>
        </w:tc>
        <w:tc>
          <w:tcPr>
            <w:tcW w:w="1008" w:type="dxa"/>
            <w:tcBorders/>
            <w:vAlign w:val="center"/>
          </w:tcPr>
          <w:p>
            <w:pPr>
              <w:pStyle w:val="Normal"/>
              <w:keepNext w:val="true"/>
              <w:tabs>
                <w:tab w:val="clear" w:pos="720"/>
                <w:tab w:val="decimal" w:pos="619" w:leader="none"/>
              </w:tabs>
              <w:spacing w:before="36" w:after="36"/>
              <w:rPr/>
            </w:pPr>
            <w:r>
              <w:rPr/>
              <w:t>37.9</w:t>
            </w:r>
          </w:p>
        </w:tc>
        <w:tc>
          <w:tcPr>
            <w:tcW w:w="1008" w:type="dxa"/>
            <w:tcBorders/>
            <w:vAlign w:val="center"/>
          </w:tcPr>
          <w:p>
            <w:pPr>
              <w:pStyle w:val="Normal"/>
              <w:keepNext w:val="true"/>
              <w:tabs>
                <w:tab w:val="clear" w:pos="720"/>
                <w:tab w:val="decimal" w:pos="619" w:leader="none"/>
              </w:tabs>
              <w:spacing w:before="36" w:after="36"/>
              <w:rPr/>
            </w:pPr>
            <w:r>
              <w:rPr/>
              <w:t>118.7</w:t>
            </w:r>
          </w:p>
        </w:tc>
        <w:tc>
          <w:tcPr>
            <w:tcW w:w="1008" w:type="dxa"/>
            <w:tcBorders/>
            <w:vAlign w:val="center"/>
          </w:tcPr>
          <w:p>
            <w:pPr>
              <w:pStyle w:val="Normal"/>
              <w:keepNext w:val="true"/>
              <w:tabs>
                <w:tab w:val="clear" w:pos="720"/>
                <w:tab w:val="decimal" w:pos="619" w:leader="none"/>
              </w:tabs>
              <w:spacing w:before="36" w:after="36"/>
              <w:rPr/>
            </w:pPr>
            <w:r>
              <w:rPr/>
              <w:t>636.3</w:t>
            </w:r>
          </w:p>
        </w:tc>
        <w:tc>
          <w:tcPr>
            <w:tcW w:w="1008" w:type="dxa"/>
            <w:gridSpan w:val="2"/>
            <w:tcBorders/>
            <w:vAlign w:val="center"/>
          </w:tcPr>
          <w:p>
            <w:pPr>
              <w:pStyle w:val="Normal"/>
              <w:keepNext w:val="true"/>
              <w:tabs>
                <w:tab w:val="clear" w:pos="720"/>
                <w:tab w:val="decimal" w:pos="619" w:leader="none"/>
              </w:tabs>
              <w:spacing w:before="36" w:after="36"/>
              <w:rPr/>
            </w:pPr>
            <w:r>
              <w:rPr/>
              <w:t>926.5</w:t>
            </w:r>
          </w:p>
        </w:tc>
      </w:tr>
      <w:tr>
        <w:trPr>
          <w:trHeight w:val="460" w:hRule="atLeast"/>
        </w:trPr>
        <w:tc>
          <w:tcPr>
            <w:tcW w:w="3110" w:type="dxa"/>
            <w:tcBorders/>
          </w:tcPr>
          <w:p>
            <w:pPr>
              <w:pStyle w:val="T0"/>
              <w:keepNext w:val="true"/>
              <w:spacing w:before="36" w:after="36"/>
              <w:rPr/>
            </w:pPr>
            <w:r>
              <w:rPr>
                <w:rFonts w:eastAsia="Arial"/>
              </w:rPr>
              <w:t xml:space="preserve">      </w:t>
            </w:r>
            <w:r>
              <w:rPr/>
              <w:t>Average Summer</w:t>
            </w:r>
            <w:r>
              <w:rPr>
                <w:vertAlign w:val="superscript"/>
              </w:rPr>
              <w:t>2</w:t>
            </w:r>
            <w:r>
              <w:rPr/>
              <w:t xml:space="preserve"> Peak</w:t>
            </w:r>
          </w:p>
        </w:tc>
        <w:tc>
          <w:tcPr>
            <w:tcW w:w="1008" w:type="dxa"/>
            <w:tcBorders/>
          </w:tcPr>
          <w:p>
            <w:pPr>
              <w:pStyle w:val="Normal"/>
              <w:keepNext w:val="true"/>
              <w:tabs>
                <w:tab w:val="clear" w:pos="720"/>
                <w:tab w:val="decimal" w:pos="619" w:leader="none"/>
              </w:tabs>
              <w:spacing w:before="36" w:after="36"/>
              <w:rPr/>
            </w:pPr>
            <w:r>
              <w:rPr/>
              <w:t>28.4</w:t>
            </w:r>
          </w:p>
        </w:tc>
        <w:tc>
          <w:tcPr>
            <w:tcW w:w="1008" w:type="dxa"/>
            <w:tcBorders/>
          </w:tcPr>
          <w:p>
            <w:pPr>
              <w:pStyle w:val="Normal"/>
              <w:keepNext w:val="true"/>
              <w:tabs>
                <w:tab w:val="clear" w:pos="720"/>
                <w:tab w:val="decimal" w:pos="619" w:leader="none"/>
              </w:tabs>
              <w:spacing w:before="36" w:after="36"/>
              <w:rPr/>
            </w:pPr>
            <w:r>
              <w:rPr/>
              <w:t>37.0</w:t>
            </w:r>
          </w:p>
        </w:tc>
        <w:tc>
          <w:tcPr>
            <w:tcW w:w="1008" w:type="dxa"/>
            <w:tcBorders/>
          </w:tcPr>
          <w:p>
            <w:pPr>
              <w:pStyle w:val="Normal"/>
              <w:keepNext w:val="true"/>
              <w:tabs>
                <w:tab w:val="clear" w:pos="720"/>
                <w:tab w:val="decimal" w:pos="619" w:leader="none"/>
              </w:tabs>
              <w:spacing w:before="36" w:after="36"/>
              <w:rPr/>
            </w:pPr>
            <w:r>
              <w:rPr/>
              <w:t>123.2</w:t>
            </w:r>
          </w:p>
        </w:tc>
        <w:tc>
          <w:tcPr>
            <w:tcW w:w="1008" w:type="dxa"/>
            <w:gridSpan w:val="2"/>
            <w:tcBorders/>
          </w:tcPr>
          <w:p>
            <w:pPr>
              <w:pStyle w:val="Normal"/>
              <w:keepNext w:val="true"/>
              <w:tabs>
                <w:tab w:val="clear" w:pos="720"/>
                <w:tab w:val="decimal" w:pos="619" w:leader="none"/>
              </w:tabs>
              <w:spacing w:before="36" w:after="36"/>
              <w:rPr/>
            </w:pPr>
            <w:r>
              <w:rPr/>
              <w:t>131.9</w:t>
            </w:r>
          </w:p>
        </w:tc>
      </w:tr>
      <w:tr>
        <w:trPr>
          <w:trHeight w:val="480" w:hRule="atLeast"/>
        </w:trPr>
        <w:tc>
          <w:tcPr>
            <w:tcW w:w="3110" w:type="dxa"/>
            <w:tcBorders/>
          </w:tcPr>
          <w:p>
            <w:pPr>
              <w:pStyle w:val="T0"/>
              <w:keepNext w:val="true"/>
              <w:spacing w:before="36" w:after="36"/>
              <w:rPr/>
            </w:pPr>
            <w:r>
              <w:rPr/>
              <w:t>Megawatt Daily –  TVA</w:t>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gridSpan w:val="2"/>
            <w:tcBorders/>
          </w:tcPr>
          <w:p>
            <w:pPr>
              <w:pStyle w:val="Normal"/>
              <w:keepNext w:val="true"/>
              <w:tabs>
                <w:tab w:val="clear" w:pos="720"/>
                <w:tab w:val="decimal" w:pos="619" w:leader="none"/>
              </w:tabs>
              <w:snapToGrid w:val="false"/>
              <w:spacing w:before="36" w:after="36"/>
              <w:rPr/>
            </w:pPr>
            <w:r>
              <w:rPr/>
            </w:r>
          </w:p>
        </w:tc>
      </w:tr>
      <w:tr>
        <w:trPr>
          <w:trHeight w:val="351"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T0"/>
              <w:keepNext w:val="true"/>
              <w:tabs>
                <w:tab w:val="clear" w:pos="720"/>
                <w:tab w:val="decimal" w:pos="652" w:leader="none"/>
              </w:tabs>
              <w:spacing w:before="36" w:after="36"/>
              <w:rPr>
                <w:rFonts w:ascii="Times New Roman" w:hAnsi="Times New Roman" w:cs="Times New Roman"/>
              </w:rPr>
            </w:pPr>
            <w:r>
              <w:rPr>
                <w:rFonts w:cs="Times New Roman" w:ascii="Times New Roman" w:hAnsi="Times New Roman"/>
              </w:rPr>
              <w:t>NA</w:t>
            </w:r>
          </w:p>
        </w:tc>
        <w:tc>
          <w:tcPr>
            <w:tcW w:w="1008" w:type="dxa"/>
            <w:tcBorders/>
          </w:tcPr>
          <w:p>
            <w:pPr>
              <w:pStyle w:val="Normal"/>
              <w:keepNext w:val="true"/>
              <w:tabs>
                <w:tab w:val="clear" w:pos="720"/>
                <w:tab w:val="decimal" w:pos="619" w:leader="none"/>
              </w:tabs>
              <w:spacing w:before="36" w:after="36"/>
              <w:rPr/>
            </w:pPr>
            <w:r>
              <w:rPr/>
              <w:t>25.4</w:t>
            </w:r>
          </w:p>
        </w:tc>
        <w:tc>
          <w:tcPr>
            <w:tcW w:w="1008" w:type="dxa"/>
            <w:tcBorders/>
          </w:tcPr>
          <w:p>
            <w:pPr>
              <w:pStyle w:val="Normal"/>
              <w:keepNext w:val="true"/>
              <w:tabs>
                <w:tab w:val="clear" w:pos="720"/>
                <w:tab w:val="decimal" w:pos="619" w:leader="none"/>
              </w:tabs>
              <w:spacing w:before="36" w:after="36"/>
              <w:rPr/>
            </w:pPr>
            <w:r>
              <w:rPr/>
              <w:t>47.2</w:t>
            </w:r>
          </w:p>
        </w:tc>
        <w:tc>
          <w:tcPr>
            <w:tcW w:w="1008" w:type="dxa"/>
            <w:gridSpan w:val="2"/>
            <w:tcBorders/>
          </w:tcPr>
          <w:p>
            <w:pPr>
              <w:pStyle w:val="Normal"/>
              <w:keepNext w:val="true"/>
              <w:tabs>
                <w:tab w:val="clear" w:pos="720"/>
                <w:tab w:val="decimal" w:pos="619" w:leader="none"/>
              </w:tabs>
              <w:spacing w:before="36" w:after="36"/>
              <w:rPr/>
            </w:pPr>
            <w:r>
              <w:rPr/>
              <w:t>48.6</w:t>
            </w:r>
          </w:p>
        </w:tc>
      </w:tr>
      <w:tr>
        <w:trPr>
          <w:trHeight w:val="480" w:hRule="atLeast"/>
        </w:trPr>
        <w:tc>
          <w:tcPr>
            <w:tcW w:w="3110" w:type="dxa"/>
            <w:tcBorders/>
            <w:vAlign w:val="center"/>
          </w:tcPr>
          <w:p>
            <w:pPr>
              <w:pStyle w:val="Normal"/>
              <w:keepNext w:val="true"/>
              <w:spacing w:before="36" w:after="36"/>
              <w:ind w:start="360" w:end="0"/>
              <w:rPr/>
            </w:pPr>
            <w:r>
              <w:rPr/>
              <w:t>High</w:t>
            </w:r>
          </w:p>
        </w:tc>
        <w:tc>
          <w:tcPr>
            <w:tcW w:w="1008" w:type="dxa"/>
            <w:tcBorders/>
            <w:vAlign w:val="center"/>
          </w:tcPr>
          <w:p>
            <w:pPr>
              <w:pStyle w:val="Normal"/>
              <w:keepNext w:val="true"/>
              <w:tabs>
                <w:tab w:val="clear" w:pos="720"/>
                <w:tab w:val="decimal" w:pos="652" w:leader="none"/>
              </w:tabs>
              <w:spacing w:before="36" w:after="216"/>
              <w:rPr/>
            </w:pPr>
            <w:r>
              <w:rPr/>
              <w:t>NA</w:t>
            </w:r>
          </w:p>
        </w:tc>
        <w:tc>
          <w:tcPr>
            <w:tcW w:w="1008" w:type="dxa"/>
            <w:tcBorders/>
            <w:vAlign w:val="center"/>
          </w:tcPr>
          <w:p>
            <w:pPr>
              <w:pStyle w:val="Normal"/>
              <w:keepNext w:val="true"/>
              <w:tabs>
                <w:tab w:val="clear" w:pos="720"/>
                <w:tab w:val="decimal" w:pos="619" w:leader="none"/>
              </w:tabs>
              <w:spacing w:before="36" w:after="216"/>
              <w:rPr/>
            </w:pPr>
            <w:r>
              <w:rPr/>
              <w:t>232.5</w:t>
            </w:r>
          </w:p>
        </w:tc>
        <w:tc>
          <w:tcPr>
            <w:tcW w:w="1008" w:type="dxa"/>
            <w:tcBorders/>
            <w:vAlign w:val="center"/>
          </w:tcPr>
          <w:p>
            <w:pPr>
              <w:pStyle w:val="Normal"/>
              <w:keepNext w:val="true"/>
              <w:tabs>
                <w:tab w:val="clear" w:pos="720"/>
                <w:tab w:val="decimal" w:pos="619" w:leader="none"/>
              </w:tabs>
              <w:spacing w:before="36" w:after="216"/>
              <w:rPr/>
            </w:pPr>
            <w:r>
              <w:rPr/>
              <w:t>1,816.7</w:t>
            </w:r>
          </w:p>
        </w:tc>
        <w:tc>
          <w:tcPr>
            <w:tcW w:w="1008" w:type="dxa"/>
            <w:gridSpan w:val="2"/>
            <w:tcBorders/>
            <w:vAlign w:val="center"/>
          </w:tcPr>
          <w:p>
            <w:pPr>
              <w:pStyle w:val="Normal"/>
              <w:keepNext w:val="true"/>
              <w:tabs>
                <w:tab w:val="clear" w:pos="720"/>
                <w:tab w:val="decimal" w:pos="619" w:leader="none"/>
              </w:tabs>
              <w:spacing w:before="36" w:after="216"/>
              <w:rPr/>
            </w:pPr>
            <w:r>
              <w:rPr/>
              <w:t>1,765.4</w:t>
            </w:r>
          </w:p>
        </w:tc>
      </w:tr>
      <w:tr>
        <w:trPr>
          <w:trHeight w:val="480" w:hRule="atLeast"/>
        </w:trPr>
        <w:tc>
          <w:tcPr>
            <w:tcW w:w="3110" w:type="dxa"/>
            <w:tcBorders>
              <w:bottom w:val="single" w:sz="6" w:space="0" w:color="000000"/>
            </w:tcBorders>
          </w:tcPr>
          <w:p>
            <w:pPr>
              <w:pStyle w:val="T0"/>
              <w:keepNext w:val="true"/>
              <w:spacing w:before="36" w:after="36"/>
              <w:rPr/>
            </w:pPr>
            <w:r>
              <w:rPr>
                <w:rFonts w:eastAsia="Arial"/>
              </w:rPr>
              <w:t xml:space="preserve">      </w:t>
            </w:r>
            <w:r>
              <w:rPr/>
              <w:t>Average Summer</w:t>
            </w:r>
            <w:r>
              <w:rPr>
                <w:vertAlign w:val="superscript"/>
              </w:rPr>
              <w:t>2</w:t>
            </w:r>
            <w:r>
              <w:rPr/>
              <w:t xml:space="preserve"> Peak</w:t>
            </w:r>
          </w:p>
        </w:tc>
        <w:tc>
          <w:tcPr>
            <w:tcW w:w="1008" w:type="dxa"/>
            <w:tcBorders>
              <w:bottom w:val="single" w:sz="6" w:space="0" w:color="000000"/>
            </w:tcBorders>
          </w:tcPr>
          <w:p>
            <w:pPr>
              <w:pStyle w:val="Normal"/>
              <w:keepNext w:val="true"/>
              <w:tabs>
                <w:tab w:val="clear" w:pos="720"/>
                <w:tab w:val="decimal" w:pos="652" w:leader="none"/>
              </w:tabs>
              <w:spacing w:before="36" w:after="216"/>
              <w:rPr/>
            </w:pPr>
            <w:r>
              <w:rPr/>
              <w:t>NA</w:t>
            </w:r>
          </w:p>
        </w:tc>
        <w:tc>
          <w:tcPr>
            <w:tcW w:w="1008" w:type="dxa"/>
            <w:tcBorders>
              <w:bottom w:val="single" w:sz="6" w:space="0" w:color="000000"/>
            </w:tcBorders>
          </w:tcPr>
          <w:p>
            <w:pPr>
              <w:pStyle w:val="Normal"/>
              <w:keepNext w:val="true"/>
              <w:tabs>
                <w:tab w:val="clear" w:pos="720"/>
                <w:tab w:val="decimal" w:pos="619" w:leader="none"/>
              </w:tabs>
              <w:spacing w:before="36" w:after="216"/>
              <w:rPr/>
            </w:pPr>
            <w:r>
              <w:rPr/>
              <w:t>32.3</w:t>
            </w:r>
          </w:p>
        </w:tc>
        <w:tc>
          <w:tcPr>
            <w:tcW w:w="1008" w:type="dxa"/>
            <w:tcBorders>
              <w:bottom w:val="single" w:sz="6" w:space="0" w:color="000000"/>
            </w:tcBorders>
          </w:tcPr>
          <w:p>
            <w:pPr>
              <w:pStyle w:val="Normal"/>
              <w:keepNext w:val="true"/>
              <w:tabs>
                <w:tab w:val="clear" w:pos="720"/>
                <w:tab w:val="decimal" w:pos="619" w:leader="none"/>
              </w:tabs>
              <w:spacing w:before="36" w:after="216"/>
              <w:rPr/>
            </w:pPr>
            <w:r>
              <w:rPr/>
              <w:t>106.7</w:t>
            </w:r>
          </w:p>
        </w:tc>
        <w:tc>
          <w:tcPr>
            <w:tcW w:w="1008" w:type="dxa"/>
            <w:gridSpan w:val="2"/>
            <w:tcBorders>
              <w:bottom w:val="single" w:sz="6" w:space="0" w:color="000000"/>
            </w:tcBorders>
          </w:tcPr>
          <w:p>
            <w:pPr>
              <w:pStyle w:val="Normal"/>
              <w:keepNext w:val="true"/>
              <w:tabs>
                <w:tab w:val="clear" w:pos="720"/>
                <w:tab w:val="decimal" w:pos="619" w:leader="none"/>
              </w:tabs>
              <w:spacing w:before="36" w:after="216"/>
              <w:rPr/>
            </w:pPr>
            <w:r>
              <w:rPr/>
              <w:t>120.2</w:t>
            </w:r>
          </w:p>
        </w:tc>
      </w:tr>
    </w:tbl>
    <w:p>
      <w:pPr>
        <w:pStyle w:val="A0b"/>
        <w:numPr>
          <w:ilvl w:val="0"/>
          <w:numId w:val="0"/>
        </w:numPr>
        <w:ind w:hanging="0" w:start="0"/>
        <w:rPr/>
      </w:pPr>
      <w:r>
        <w:rPr/>
        <w:tab/>
        <w:tab/>
      </w:r>
      <w:r>
        <w:rPr>
          <w:sz w:val="16"/>
          <w:vertAlign w:val="superscript"/>
        </w:rPr>
        <w:t>1</w:t>
      </w:r>
      <w:r>
        <w:rPr>
          <w:sz w:val="16"/>
        </w:rPr>
        <w:t xml:space="preserve"> Includes hours 6 through 22 weekdays.</w:t>
      </w:r>
    </w:p>
    <w:p>
      <w:pPr>
        <w:pStyle w:val="A0b"/>
        <w:numPr>
          <w:ilvl w:val="0"/>
          <w:numId w:val="0"/>
        </w:numPr>
        <w:ind w:hanging="0" w:start="0"/>
        <w:rPr/>
      </w:pPr>
      <w:r>
        <w:rPr>
          <w:sz w:val="16"/>
        </w:rPr>
        <w:tab/>
        <w:tab/>
      </w:r>
      <w:r>
        <w:rPr>
          <w:sz w:val="16"/>
          <w:vertAlign w:val="superscript"/>
        </w:rPr>
        <w:t>2</w:t>
      </w:r>
      <w:r>
        <w:rPr>
          <w:sz w:val="16"/>
        </w:rPr>
        <w:t xml:space="preserve"> Inlcudes June, July and August.</w:t>
      </w:r>
    </w:p>
    <w:p>
      <w:pPr>
        <w:pStyle w:val="A0b"/>
        <w:numPr>
          <w:ilvl w:val="0"/>
          <w:numId w:val="0"/>
        </w:numPr>
        <w:ind w:hanging="0" w:start="0"/>
        <w:rPr>
          <w:sz w:val="16"/>
        </w:rPr>
      </w:pPr>
      <w:r>
        <w:rPr>
          <w:sz w:val="16"/>
        </w:rPr>
        <w:tab/>
        <w:tab/>
        <w:t>Source: Power Market Week (PMW) weekly price index and Megawatt Daily daily index.</w:t>
      </w:r>
      <w:r>
        <w:br w:type="page"/>
      </w:r>
    </w:p>
    <w:p>
      <w:pPr>
        <w:pStyle w:val="Ttl0"/>
        <w:keepNext w:val="true"/>
        <w:rPr/>
      </w:pPr>
      <w:r>
        <w:rPr/>
        <w:t>SERC Weekly Indexes – Recent Price Spikes in TVA</w:t>
      </w:r>
    </w:p>
    <w:p>
      <w:pPr>
        <w:pStyle w:val="Ttl0"/>
        <w:keepNext w:val="true"/>
        <w:rPr>
          <w:i/>
          <w:i/>
          <w:sz w:val="20"/>
        </w:rPr>
      </w:pPr>
      <w:r>
        <w:drawing>
          <wp:anchor behindDoc="0" distT="0" distB="0" distL="114935" distR="114935" simplePos="0" locked="0" layoutInCell="0" allowOverlap="1" relativeHeight="25">
            <wp:simplePos x="0" y="0"/>
            <wp:positionH relativeFrom="column">
              <wp:posOffset>0</wp:posOffset>
            </wp:positionH>
            <wp:positionV relativeFrom="paragraph">
              <wp:posOffset>635</wp:posOffset>
            </wp:positionV>
            <wp:extent cx="5482590" cy="3749040"/>
            <wp:effectExtent l="0" t="0" r="0" b="0"/>
            <wp:wrapTopAndBottom/>
            <wp:docPr id="3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 descr="" title=""/>
                    <pic:cNvPicPr>
                      <a:picLocks noChangeAspect="1" noChangeArrowheads="1"/>
                    </pic:cNvPicPr>
                  </pic:nvPicPr>
                  <pic:blipFill>
                    <a:blip r:embed="rId30"/>
                    <a:srcRect l="-4" t="-6" r="-4" b="-6"/>
                    <a:stretch>
                      <a:fillRect/>
                    </a:stretch>
                  </pic:blipFill>
                  <pic:spPr bwMode="auto">
                    <a:xfrm>
                      <a:off x="0" y="0"/>
                      <a:ext cx="5482590" cy="3749040"/>
                    </a:xfrm>
                    <a:prstGeom prst="rect">
                      <a:avLst/>
                    </a:prstGeom>
                    <a:noFill/>
                  </pic:spPr>
                </pic:pic>
              </a:graphicData>
            </a:graphic>
          </wp:anchor>
        </w:drawing>
      </w:r>
      <w:r>
        <w:rPr>
          <w:i/>
          <w:sz w:val="20"/>
        </w:rPr>
        <w:t>Source: Power Market Week</w:t>
      </w:r>
    </w:p>
    <w:p>
      <w:pPr>
        <w:pStyle w:val="SecRN0"/>
        <w:rPr>
          <w:i/>
          <w:i/>
          <w:sz w:val="20"/>
        </w:rPr>
      </w:pPr>
      <w:r>
        <w:rPr>
          <w:i/>
          <w:sz w:val="20"/>
        </w:rPr>
      </w:r>
      <w:r>
        <w:br w:type="page"/>
      </w:r>
    </w:p>
    <w:p>
      <w:pPr>
        <w:pStyle w:val="SecRN0"/>
        <w:ind w:hanging="0" w:start="0" w:end="0"/>
        <w:rPr/>
      </w:pPr>
      <w:r>
        <w:rPr/>
        <w:t>VI.</w:t>
        <w:tab/>
        <w:t>OTHER RELEVANT DEVELOPMENTS</w:t>
      </w:r>
    </w:p>
    <w:p>
      <w:pPr>
        <w:pStyle w:val="A0"/>
        <w:rPr/>
      </w:pPr>
      <w:r>
        <w:rPr/>
        <w:t>There are several transmission-related developments that can further facilitate market access for the Facilities.  These include a move to a more regional ISO structure with a gradual elimination of pancaking of transmission rates and thus, a more integrated marketplace.</w:t>
      </w:r>
    </w:p>
    <w:p>
      <w:pPr>
        <w:pStyle w:val="HdLet0"/>
        <w:rPr/>
      </w:pPr>
      <w:r>
        <w:rPr/>
        <w:t>A.</w:t>
        <w:tab/>
        <w:t>Midwest ISO and Transmission Charges</w:t>
      </w:r>
    </w:p>
    <w:p>
      <w:pPr>
        <w:pStyle w:val="A0b"/>
        <w:numPr>
          <w:ilvl w:val="0"/>
          <w:numId w:val="6"/>
        </w:numPr>
        <w:ind w:hanging="0" w:start="0"/>
        <w:rPr/>
      </w:pPr>
      <w:r>
        <w:rPr/>
        <w:t>Recently, FERC conditionally approved the Midwest ISO (“MISO”), which includes members from MAIN, ECAR and MAPP.  The implementation of the ISO would serve largely to eliminate the pancaking of rates by establishing a zonal pricing system.</w:t>
      </w:r>
    </w:p>
    <w:p>
      <w:pPr>
        <w:pStyle w:val="A0b"/>
        <w:numPr>
          <w:ilvl w:val="0"/>
          <w:numId w:val="6"/>
        </w:numPr>
        <w:ind w:hanging="0" w:start="0"/>
        <w:rPr/>
      </w:pPr>
      <w:r>
        <w:rPr/>
        <w:t>Members of the MISO include: Allegheny Power, Ameren, CILCO, Cinergy, Commonwealth Edison, Hoosier Energy Rural Electric Cooperative, Illinois Power, Louisville Gas &amp; Electric, Wabash Valley Power, SIGECO, Alliant Energy, So. Illinois Power Cooperative, and Wisconsin Electric. A total of twelve transmission owners in the region are members of MISO. Recently, Northern States Power joined MISO expanding the organization into MAPP.</w:t>
      </w:r>
    </w:p>
    <w:p>
      <w:pPr>
        <w:pStyle w:val="A0b"/>
        <w:numPr>
          <w:ilvl w:val="0"/>
          <w:numId w:val="6"/>
        </w:numPr>
        <w:ind w:hanging="0" w:start="0"/>
        <w:rPr/>
      </w:pPr>
      <w:r>
        <w:rPr/>
        <w:t>Recently, members of MAPPCOR, the contractor that operates the Mid-Continental Power Pool (MAPP), agreed to sell its assets to MISO. The agreement will not be complete unless members representing two-thirds of the load in MAPP agree to join MISO.</w:t>
      </w:r>
    </w:p>
    <w:p>
      <w:pPr>
        <w:pStyle w:val="A0b"/>
        <w:numPr>
          <w:ilvl w:val="0"/>
          <w:numId w:val="6"/>
        </w:numPr>
        <w:ind w:hanging="0" w:start="0"/>
        <w:rPr/>
      </w:pPr>
      <w:r>
        <w:rPr/>
        <w:t>The pricing structure agreed to by the participants allows for a six year transition period, during which time the members of MISO are divided into zones existing at the time of filing the agreement.  For point-to-point transmission to a customer within the ISO, the rate charged will be the zonal rate where the load is located.</w:t>
      </w:r>
    </w:p>
    <w:p>
      <w:pPr>
        <w:pStyle w:val="A0b"/>
        <w:numPr>
          <w:ilvl w:val="0"/>
          <w:numId w:val="6"/>
        </w:numPr>
        <w:ind w:hanging="0" w:start="0"/>
        <w:rPr/>
      </w:pPr>
      <w:r>
        <w:rPr/>
        <w:t>For point-to-point transmission through the ISO or for point-to-point transmission out of the ISO, the rate charged will be a single system-wide ISO rate.</w:t>
      </w:r>
    </w:p>
    <w:p>
      <w:pPr>
        <w:pStyle w:val="A0b"/>
        <w:numPr>
          <w:ilvl w:val="0"/>
          <w:numId w:val="6"/>
        </w:numPr>
        <w:ind w:hanging="0" w:start="0"/>
        <w:rPr/>
      </w:pPr>
      <w:r>
        <w:rPr/>
        <w:t>After the transition period the zonal pricing structure may be retained or a single, Midwest ISO rate adopted.</w:t>
      </w:r>
    </w:p>
    <w:p>
      <w:pPr>
        <w:pStyle w:val="A0b"/>
        <w:numPr>
          <w:ilvl w:val="0"/>
          <w:numId w:val="6"/>
        </w:numPr>
        <w:ind w:hanging="0" w:start="0"/>
        <w:rPr/>
      </w:pPr>
      <w:r>
        <w:rPr/>
        <w:t>More recently Commonwealth Edison, Mid American Energy, Interstate Power and IES Utilities have proposed forming a for-profit independent transmission company (ITC) within the jurisdiction of MISO. They have filed their plan with FERC in December 1999 and the proposal is pending review. The proposed ITC would have a governing body independent of buyers and sellers and any major rate-funded transmission expansion would need to be approved by MISO.</w:t>
      </w:r>
    </w:p>
    <w:p>
      <w:pPr>
        <w:pStyle w:val="A0b"/>
        <w:numPr>
          <w:ilvl w:val="0"/>
          <w:numId w:val="6"/>
        </w:numPr>
        <w:ind w:hanging="0" w:start="0"/>
        <w:rPr/>
      </w:pPr>
      <w:r>
        <w:rPr/>
        <w:t>Currently negotiations are underway to expand MISO to include SPP.  This expansion is targeted to include both the northern and western sections of SPP.</w:t>
      </w:r>
    </w:p>
    <w:p>
      <w:pPr>
        <w:pStyle w:val="A0b"/>
        <w:numPr>
          <w:ilvl w:val="0"/>
          <w:numId w:val="0"/>
        </w:numPr>
        <w:ind w:hanging="0" w:start="1800" w:end="0"/>
        <w:rPr/>
      </w:pPr>
      <w:r>
        <w:rPr/>
      </w:r>
    </w:p>
    <w:p>
      <w:pPr>
        <w:pStyle w:val="A0b"/>
        <w:numPr>
          <w:ilvl w:val="0"/>
          <w:numId w:val="0"/>
        </w:numPr>
        <w:ind w:hanging="360" w:start="2160" w:end="0"/>
        <w:rPr/>
      </w:pPr>
      <w:r>
        <w:rPr/>
      </w:r>
    </w:p>
    <w:p>
      <w:pPr>
        <w:pStyle w:val="A0b"/>
        <w:numPr>
          <w:ilvl w:val="0"/>
          <w:numId w:val="0"/>
        </w:numPr>
        <w:ind w:hanging="360" w:start="2160" w:end="0"/>
        <w:rPr/>
      </w:pPr>
      <w:r>
        <w:rPr/>
      </w:r>
    </w:p>
    <w:p>
      <w:pPr>
        <w:pStyle w:val="HdLet0"/>
        <w:rPr>
          <w:b w:val="false"/>
          <w:sz w:val="20"/>
        </w:rPr>
      </w:pPr>
      <w:r>
        <w:drawing>
          <wp:anchor behindDoc="0" distT="0" distB="0" distL="114935" distR="114935" simplePos="0" locked="0" layoutInCell="0" allowOverlap="1" relativeHeight="22">
            <wp:simplePos x="0" y="0"/>
            <wp:positionH relativeFrom="column">
              <wp:posOffset>0</wp:posOffset>
            </wp:positionH>
            <wp:positionV relativeFrom="paragraph">
              <wp:posOffset>635</wp:posOffset>
            </wp:positionV>
            <wp:extent cx="4810125" cy="3714750"/>
            <wp:effectExtent l="0" t="0" r="0" b="0"/>
            <wp:wrapTopAndBottom/>
            <wp:docPr id="3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 descr="" title=""/>
                    <pic:cNvPicPr>
                      <a:picLocks noChangeAspect="1" noChangeArrowheads="1"/>
                    </pic:cNvPicPr>
                  </pic:nvPicPr>
                  <pic:blipFill>
                    <a:blip r:embed="rId31"/>
                    <a:srcRect l="-7" t="-10" r="-7" b="-10"/>
                    <a:stretch>
                      <a:fillRect/>
                    </a:stretch>
                  </pic:blipFill>
                  <pic:spPr bwMode="auto">
                    <a:xfrm>
                      <a:off x="0" y="0"/>
                      <a:ext cx="4810125" cy="3714750"/>
                    </a:xfrm>
                    <a:prstGeom prst="rect">
                      <a:avLst/>
                    </a:prstGeom>
                    <a:noFill/>
                  </pic:spPr>
                </pic:pic>
              </a:graphicData>
            </a:graphic>
          </wp:anchor>
        </w:drawing>
      </w:r>
      <w:r>
        <w:rPr>
          <w:b w:val="false"/>
          <w:sz w:val="20"/>
        </w:rPr>
        <w:t>source: www.midwestiso.com</w:t>
      </w:r>
    </w:p>
    <w:p>
      <w:pPr>
        <w:pStyle w:val="HdLet0"/>
        <w:rPr/>
      </w:pPr>
      <w:r>
        <w:rPr/>
        <w:t>B.</w:t>
        <w:tab/>
        <w:t>Alliance RTO</w:t>
      </w:r>
    </w:p>
    <w:p>
      <w:pPr>
        <w:pStyle w:val="A0b"/>
        <w:numPr>
          <w:ilvl w:val="0"/>
          <w:numId w:val="6"/>
        </w:numPr>
        <w:ind w:hanging="0" w:start="0"/>
        <w:rPr/>
      </w:pPr>
      <w:r>
        <w:rPr/>
        <w:t>A competing ISO-type regional transmission organization (“RTO”) is under development by companies in ECAR and VACAR.</w:t>
      </w:r>
    </w:p>
    <w:p>
      <w:pPr>
        <w:pStyle w:val="A0b"/>
        <w:numPr>
          <w:ilvl w:val="0"/>
          <w:numId w:val="6"/>
        </w:numPr>
        <w:ind w:hanging="0" w:start="0"/>
        <w:rPr/>
      </w:pPr>
      <w:r>
        <w:rPr/>
        <w:t>Discussions with multiple parties have been ongoing since early 1998.  The Alliance is currently in Phase III.</w:t>
      </w:r>
    </w:p>
    <w:p>
      <w:pPr>
        <w:pStyle w:val="A0b"/>
        <w:numPr>
          <w:ilvl w:val="0"/>
          <w:numId w:val="6"/>
        </w:numPr>
        <w:ind w:hanging="0" w:start="0"/>
        <w:rPr/>
      </w:pPr>
      <w:r>
        <w:rPr/>
        <w:t>Currently, five companies have agreed to develop a FERC filing:</w:t>
      </w:r>
    </w:p>
    <w:p>
      <w:pPr>
        <w:pStyle w:val="B0bbox"/>
        <w:numPr>
          <w:ilvl w:val="0"/>
          <w:numId w:val="9"/>
        </w:numPr>
        <w:rPr/>
      </w:pPr>
      <w:r>
        <w:rPr/>
        <w:t>AEP</w:t>
      </w:r>
    </w:p>
    <w:p>
      <w:pPr>
        <w:pStyle w:val="B0bbox"/>
        <w:numPr>
          <w:ilvl w:val="0"/>
          <w:numId w:val="9"/>
        </w:numPr>
        <w:rPr/>
      </w:pPr>
      <w:r>
        <w:rPr/>
        <w:t>First Energy</w:t>
      </w:r>
    </w:p>
    <w:p>
      <w:pPr>
        <w:pStyle w:val="B0bbox"/>
        <w:numPr>
          <w:ilvl w:val="0"/>
          <w:numId w:val="9"/>
        </w:numPr>
        <w:rPr/>
      </w:pPr>
      <w:r>
        <w:rPr/>
        <w:t>Consumers Power</w:t>
      </w:r>
    </w:p>
    <w:p>
      <w:pPr>
        <w:pStyle w:val="B0bbox"/>
        <w:numPr>
          <w:ilvl w:val="0"/>
          <w:numId w:val="9"/>
        </w:numPr>
        <w:rPr/>
      </w:pPr>
      <w:r>
        <w:rPr/>
        <w:t>Detroit Edison</w:t>
      </w:r>
    </w:p>
    <w:p>
      <w:pPr>
        <w:pStyle w:val="B0bbox"/>
        <w:numPr>
          <w:ilvl w:val="0"/>
          <w:numId w:val="9"/>
        </w:numPr>
        <w:rPr/>
      </w:pPr>
      <w:r>
        <w:rPr/>
        <w:t>Virginia Power</w:t>
      </w:r>
    </w:p>
    <w:p>
      <w:pPr>
        <w:pStyle w:val="A0b"/>
        <w:numPr>
          <w:ilvl w:val="0"/>
          <w:numId w:val="6"/>
        </w:numPr>
        <w:ind w:hanging="0" w:start="0"/>
        <w:rPr/>
      </w:pPr>
      <w:r>
        <w:rPr>
          <w:color w:val="000000"/>
        </w:rPr>
        <w:t>The exact form of the RTO (full ISO or Transco) will remain flexible.</w:t>
      </w:r>
    </w:p>
    <w:p>
      <w:pPr>
        <w:pStyle w:val="Normal"/>
        <w:numPr>
          <w:ilvl w:val="0"/>
          <w:numId w:val="5"/>
        </w:numPr>
        <w:tabs>
          <w:tab w:val="clear" w:pos="720"/>
          <w:tab w:val="left" w:pos="900" w:leader="none"/>
          <w:tab w:val="left" w:pos="2520" w:leader="none"/>
        </w:tabs>
        <w:ind w:hanging="360" w:start="2880" w:end="0"/>
        <w:rPr>
          <w:color w:val="000000"/>
        </w:rPr>
      </w:pPr>
      <w:r>
        <w:rPr>
          <w:color w:val="000000"/>
        </w:rPr>
        <w:t>If no one divests by day one of operations, the Alliance would function like a non-profit ISO.  If one or more members sells transmission assets into the Alliance, the RTO would automatically become a transmission company.</w:t>
      </w:r>
    </w:p>
    <w:p>
      <w:pPr>
        <w:pStyle w:val="Normal"/>
        <w:numPr>
          <w:ilvl w:val="0"/>
          <w:numId w:val="5"/>
        </w:numPr>
        <w:tabs>
          <w:tab w:val="clear" w:pos="720"/>
          <w:tab w:val="left" w:pos="900" w:leader="none"/>
          <w:tab w:val="left" w:pos="2520" w:leader="none"/>
        </w:tabs>
        <w:ind w:hanging="360" w:start="2880" w:end="0"/>
        <w:rPr>
          <w:color w:val="000000"/>
        </w:rPr>
      </w:pPr>
      <w:r>
        <w:rPr>
          <w:color w:val="000000"/>
        </w:rPr>
        <w:t xml:space="preserve">Members can sign an operational agreement with the Alliance relinquishing control of transmission assets, or sell or lease assets to the Alliance.  </w:t>
      </w:r>
    </w:p>
    <w:p>
      <w:pPr>
        <w:pStyle w:val="Normal"/>
        <w:numPr>
          <w:ilvl w:val="0"/>
          <w:numId w:val="5"/>
        </w:numPr>
        <w:tabs>
          <w:tab w:val="clear" w:pos="720"/>
          <w:tab w:val="left" w:pos="900" w:leader="none"/>
          <w:tab w:val="left" w:pos="2520" w:leader="none"/>
        </w:tabs>
        <w:ind w:hanging="360" w:start="2880" w:end="0"/>
        <w:rPr>
          <w:color w:val="000000"/>
        </w:rPr>
      </w:pPr>
      <w:r>
        <w:rPr>
          <w:color w:val="000000"/>
        </w:rPr>
        <w:t xml:space="preserve">The proposed pricing structure includes a transition period in which each member’s existing transmission system would comprise a zone.  </w:t>
      </w:r>
    </w:p>
    <w:p>
      <w:pPr>
        <w:pStyle w:val="Normal"/>
        <w:numPr>
          <w:ilvl w:val="0"/>
          <w:numId w:val="5"/>
        </w:numPr>
        <w:tabs>
          <w:tab w:val="clear" w:pos="720"/>
          <w:tab w:val="left" w:pos="900" w:leader="none"/>
          <w:tab w:val="left" w:pos="2520" w:leader="none"/>
        </w:tabs>
        <w:ind w:hanging="360" w:start="2880" w:end="0"/>
        <w:rPr>
          <w:color w:val="000000"/>
        </w:rPr>
      </w:pPr>
      <w:r>
        <w:rPr>
          <w:color w:val="000000"/>
        </w:rPr>
        <w:t xml:space="preserve">Customers could pay one zone rate to access a zone and then would only pay another zone rate to access the entire RTO during the transition.  </w:t>
      </w:r>
    </w:p>
    <w:p>
      <w:pPr>
        <w:pStyle w:val="Normal"/>
        <w:numPr>
          <w:ilvl w:val="0"/>
          <w:numId w:val="5"/>
        </w:numPr>
        <w:tabs>
          <w:tab w:val="clear" w:pos="720"/>
          <w:tab w:val="left" w:pos="900" w:leader="none"/>
          <w:tab w:val="left" w:pos="2520" w:leader="none"/>
        </w:tabs>
        <w:ind w:hanging="360" w:start="2880" w:end="0"/>
        <w:rPr>
          <w:color w:val="000000"/>
        </w:rPr>
      </w:pPr>
      <w:r>
        <w:rPr>
          <w:color w:val="000000"/>
        </w:rPr>
        <w:t>Eventually, the Alliance seeks to offer a single, grid-wide rate, perhaps in six years or when all transmission owners join.</w:t>
      </w:r>
    </w:p>
    <w:p>
      <w:pPr>
        <w:pStyle w:val="Normal"/>
        <w:numPr>
          <w:ilvl w:val="0"/>
          <w:numId w:val="5"/>
        </w:numPr>
        <w:tabs>
          <w:tab w:val="clear" w:pos="720"/>
          <w:tab w:val="left" w:pos="900" w:leader="none"/>
          <w:tab w:val="left" w:pos="2520" w:leader="none"/>
        </w:tabs>
        <w:ind w:hanging="360" w:start="2880" w:end="0"/>
        <w:rPr>
          <w:color w:val="000000"/>
        </w:rPr>
      </w:pPr>
      <w:r>
        <w:rPr>
          <w:color w:val="000000"/>
        </w:rPr>
        <w:t>With FERC approval, the Alliance would also develop and propose incentive rates.</w:t>
      </w:r>
    </w:p>
    <w:p>
      <w:pPr>
        <w:pStyle w:val="A0b"/>
        <w:numPr>
          <w:ilvl w:val="0"/>
          <w:numId w:val="0"/>
        </w:numPr>
        <w:ind w:hanging="360" w:start="2160" w:end="0"/>
        <w:rPr>
          <w:color w:val="000000"/>
        </w:rPr>
      </w:pPr>
      <w:r>
        <w:rPr>
          <w:color w:val="000000"/>
        </w:rPr>
      </w:r>
    </w:p>
    <w:p>
      <w:pPr>
        <w:pStyle w:val="A0b"/>
        <w:numPr>
          <w:ilvl w:val="0"/>
          <w:numId w:val="6"/>
        </w:numPr>
        <w:ind w:hanging="0" w:start="0"/>
        <w:rPr/>
      </w:pPr>
      <w:r>
        <w:rPr/>
        <w:t>The Alliance RTO is expected to file with FERC within the year.</w:t>
      </w:r>
    </w:p>
    <w:p>
      <w:pPr>
        <w:pStyle w:val="A0b"/>
        <w:numPr>
          <w:ilvl w:val="0"/>
          <w:numId w:val="0"/>
        </w:numPr>
        <w:ind w:hanging="0" w:start="0"/>
        <w:rPr/>
      </w:pPr>
      <w:r>
        <w:drawing>
          <wp:anchor behindDoc="0" distT="0" distB="0" distL="114935" distR="114935" simplePos="0" locked="0" layoutInCell="0" allowOverlap="1" relativeHeight="23">
            <wp:simplePos x="0" y="0"/>
            <wp:positionH relativeFrom="column">
              <wp:posOffset>137160</wp:posOffset>
            </wp:positionH>
            <wp:positionV relativeFrom="paragraph">
              <wp:posOffset>239395</wp:posOffset>
            </wp:positionV>
            <wp:extent cx="5143500" cy="3962400"/>
            <wp:effectExtent l="0" t="0" r="0" b="0"/>
            <wp:wrapTopAndBottom/>
            <wp:docPr id="37"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 descr="" title=""/>
                    <pic:cNvPicPr>
                      <a:picLocks noChangeAspect="1" noChangeArrowheads="1"/>
                    </pic:cNvPicPr>
                  </pic:nvPicPr>
                  <pic:blipFill>
                    <a:blip r:embed="rId32"/>
                    <a:srcRect l="-7" t="-9" r="-7" b="-9"/>
                    <a:stretch>
                      <a:fillRect/>
                    </a:stretch>
                  </pic:blipFill>
                  <pic:spPr bwMode="auto">
                    <a:xfrm>
                      <a:off x="0" y="0"/>
                      <a:ext cx="5143500" cy="3962400"/>
                    </a:xfrm>
                    <a:prstGeom prst="rect">
                      <a:avLst/>
                    </a:prstGeom>
                    <a:noFill/>
                  </pic:spPr>
                </pic:pic>
              </a:graphicData>
            </a:graphic>
          </wp:anchor>
        </w:drawing>
      </w:r>
      <w:r>
        <w:rPr/>
        <w:tab/>
        <w:t>source:  www.alliancerto.com</w:t>
      </w:r>
    </w:p>
    <w:p>
      <w:pPr>
        <w:pStyle w:val="Normal"/>
        <w:ind w:start="1440" w:end="0"/>
        <w:rPr/>
      </w:pPr>
      <w:r>
        <w:rPr/>
      </w:r>
    </w:p>
    <w:p>
      <w:pPr>
        <w:pStyle w:val="SecRN0"/>
        <w:spacing w:before="240" w:after="120"/>
        <w:ind w:hanging="0" w:start="0" w:end="0"/>
        <w:rPr/>
      </w:pPr>
      <w:r>
        <w:rPr/>
      </w:r>
    </w:p>
    <w:sectPr>
      <w:headerReference w:type="default" r:id="rId33"/>
      <w:headerReference w:type="first" r:id="rId34"/>
      <w:type w:val="nextPage"/>
      <w:pgSz w:w="12240" w:h="15840"/>
      <w:pgMar w:left="1800" w:right="1800" w:gutter="0" w:header="720" w:top="1440" w:footer="0" w:bottom="1440"/>
      <w:pgNumType w:fmt="decimal"/>
      <w:formProt w:val="false"/>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EUS" w:date="0-00-00T00:00:00Z" w:initials="E">
    <w:p>
      <w:pPr>
        <w:overflowPunct w:val="false"/>
        <w:bidi w:val="0"/>
        <w:rPr/>
      </w:pPr>
      <w:r>
        <w:annotationRef/>
      </w:r>
      <w:r>
        <w:rPr>
          <w:rFonts w:ascii="Arial" w:hAnsi="Arial" w:eastAsia="Times New Roman" w:cs="Arial"/>
          <w:color w:val="auto"/>
          <w:sz w:val="20"/>
          <w:szCs w:val="20"/>
          <w:lang w:eastAsia="en-US" w:val="en-US" w:bidi="ar-SA"/>
        </w:rPr>
        <w:t xml:space="preserve"> I don’t understand why this footnote is here – it has no impact on the average age if the units and would only be relevant if units were retired - MF</w:t>
      </w:r>
    </w:p>
  </w:comment>
  <w:comment w:id="1" w:author="EUS" w:date="0-00-00T00:00:00Z" w:initials="E">
    <w:p>
      <w:pPr>
        <w:overflowPunct w:val="false"/>
        <w:bidi w:val="0"/>
        <w:rPr/>
      </w:pPr>
      <w:r>
        <w:annotationRef/>
      </w:r>
      <w:r>
        <w:rPr>
          <w:rFonts w:cs="DejaVu Sans" w:eastAsia="DejaVu Sans" w:ascii="Liberation Serif" w:hAnsi="Liberation Serif"/>
          <w:sz w:val="24"/>
          <w:szCs w:val="24"/>
          <w:lang w:bidi="en-US" w:eastAsia="en-US" w:val="en-US"/>
        </w:rPr>
      </w:r>
    </w:p>
  </w:comment>
  <w:comment w:id="2" w:author="EUS" w:date="0-00-00T00:00:00Z" w:initials="E">
    <w:p>
      <w:pPr>
        <w:overflowPunct w:val="false"/>
        <w:bidi w:val="0"/>
        <w:rPr/>
      </w:pPr>
      <w:r>
        <w:annotationRef/>
      </w:r>
      <w:r>
        <w:rPr>
          <w:rFonts w:ascii="Arial" w:hAnsi="Arial" w:eastAsia="Times New Roman" w:cs="Arial"/>
          <w:color w:val="auto"/>
          <w:sz w:val="20"/>
          <w:szCs w:val="20"/>
          <w:lang w:eastAsia="en-US" w:val="en-US" w:bidi="ar-SA"/>
        </w:rPr>
        <w:t xml:space="preserve"> fossil shouls be lower case.  Does this incluse all fossil fuel fired unit (cc/ct/diesel) or only steam?  If steam only, please add to footnote.</w:t>
      </w:r>
    </w:p>
  </w:comment>
  <w:comment w:id="3" w:author="EUS" w:date="0-00-00T00:00:00Z" w:initials="E">
    <w:p>
      <w:pPr>
        <w:overflowPunct w:val="false"/>
        <w:bidi w:val="0"/>
        <w:rPr/>
      </w:pPr>
      <w:r>
        <w:annotationRef/>
      </w:r>
      <w:r>
        <w:rPr>
          <w:rFonts w:ascii="Arial" w:hAnsi="Arial" w:eastAsia="Times New Roman" w:cs="Arial"/>
          <w:color w:val="auto"/>
          <w:sz w:val="20"/>
          <w:szCs w:val="20"/>
          <w:lang w:eastAsia="en-US" w:val="en-US" w:bidi="ar-SA"/>
        </w:rPr>
        <w:t xml:space="preserve"> Graphic should not reflect ties from Ontario to MAPP (neither should modeling).  If connection is to separate region, label as such – same for Southern Ecar</w:t>
      </w:r>
    </w:p>
  </w:comment>
  <w:comment w:id="5" w:author="Heberto Molina" w:date="0-00-00T00:00:00Z" w:initials="HM">
    <w:p>
      <w:pPr>
        <w:overflowPunct w:val="false"/>
        <w:bidi w:val="0"/>
        <w:rPr/>
      </w:pPr>
      <w:r>
        <w:annotationRef/>
      </w:r>
      <w:r>
        <w:rPr>
          <w:rFonts w:ascii="Arial" w:hAnsi="Arial" w:eastAsia="Times New Roman" w:cs="Arial"/>
          <w:color w:val="auto"/>
          <w:sz w:val="20"/>
          <w:szCs w:val="20"/>
          <w:lang w:eastAsia="en-US" w:val="en-US" w:bidi="ar-SA"/>
        </w:rPr>
        <w:t xml:space="preserve"> \\snyc14207\ProjFin\yellen\990920095.xls</w:t>
      </w:r>
    </w:p>
    <w:p>
      <w:pPr>
        <w:overflowPunct w:val="false"/>
        <w:bidi w:val="0"/>
        <w:rPr/>
      </w:pPr>
      <w:r>
        <w:rPr>
          <w:rFonts w:ascii="Arial" w:hAnsi="Arial" w:eastAsia="Times New Roman" w:cs="Arial"/>
          <w:color w:val="auto"/>
          <w:sz w:val="20"/>
          <w:szCs w:val="20"/>
          <w:lang w:eastAsia="en-US" w:val="en-US" w:bidi="ar-SA"/>
        </w:rPr>
        <w:t>4/26/99 3:25:24 PM</w:t>
      </w:r>
    </w:p>
  </w:comment>
  <w:comment w:id="8" w:author="Heberto Molina" w:date="0-00-00T00:00:00Z" w:initials="HM">
    <w:p>
      <w:pPr>
        <w:overflowPunct w:val="false"/>
        <w:bidi w:val="0"/>
        <w:rPr/>
      </w:pPr>
      <w:r>
        <w:annotationRef/>
      </w:r>
      <w:r>
        <w:rPr>
          <w:rFonts w:ascii="Arial" w:hAnsi="Arial" w:eastAsia="Times New Roman" w:cs="Arial"/>
          <w:color w:val="auto"/>
          <w:sz w:val="20"/>
          <w:szCs w:val="20"/>
          <w:lang w:eastAsia="en-US" w:val="en-US" w:bidi="ar-SA"/>
        </w:rPr>
        <w:t xml:space="preserve"> \\snyc14207\ProjFin\yellen\990920095.xls</w:t>
      </w:r>
    </w:p>
    <w:p>
      <w:pPr>
        <w:overflowPunct w:val="false"/>
        <w:bidi w:val="0"/>
        <w:rPr/>
      </w:pPr>
      <w:r>
        <w:rPr>
          <w:rFonts w:ascii="Arial" w:hAnsi="Arial" w:eastAsia="Times New Roman" w:cs="Arial"/>
          <w:color w:val="auto"/>
          <w:sz w:val="20"/>
          <w:szCs w:val="20"/>
          <w:lang w:eastAsia="en-US" w:val="en-US" w:bidi="ar-SA"/>
        </w:rPr>
        <w:t>4/26/99 3:25:48 PM</w:t>
      </w:r>
    </w:p>
  </w:comment>
  <w:comment w:id="10" w:author="EUS" w:date="0-00-00T00:00:00Z" w:initials="E">
    <w:p>
      <w:pPr>
        <w:overflowPunct w:val="false"/>
        <w:bidi w:val="0"/>
        <w:rPr/>
      </w:pPr>
      <w:r>
        <w:annotationRef/>
      </w:r>
      <w:r>
        <w:rPr>
          <w:rFonts w:ascii="Arial" w:hAnsi="Arial" w:eastAsia="Times New Roman" w:cs="Arial"/>
          <w:color w:val="auto"/>
          <w:sz w:val="20"/>
          <w:szCs w:val="20"/>
          <w:lang w:eastAsia="en-US" w:val="en-US" w:bidi="ar-SA"/>
        </w:rPr>
        <w:t>Discuss MAIN Entergy connection as well</w:t>
      </w:r>
    </w:p>
  </w:comment>
  <w:comment w:id="11" w:author="EUS" w:date="0-00-00T00:00:00Z" w:initials="E">
    <w:p>
      <w:pPr>
        <w:overflowPunct w:val="false"/>
        <w:bidi w:val="0"/>
        <w:rPr/>
      </w:pPr>
      <w:r>
        <w:annotationRef/>
      </w:r>
      <w:r>
        <w:rPr>
          <w:rFonts w:ascii="Arial" w:hAnsi="Arial" w:eastAsia="Times New Roman" w:cs="Arial"/>
          <w:color w:val="auto"/>
          <w:sz w:val="20"/>
          <w:szCs w:val="20"/>
          <w:lang w:eastAsia="en-US" w:val="en-US" w:bidi="ar-SA"/>
        </w:rPr>
        <w:t>FOOTNOTES not attached to table.  Add source.</w:t>
      </w:r>
    </w:p>
  </w:comment>
  <w:comment w:id="13" w:author="EUS" w:date="0-00-00T00:00:00Z" w:initials="E">
    <w:p>
      <w:pPr>
        <w:overflowPunct w:val="false"/>
        <w:bidi w:val="0"/>
        <w:rPr/>
      </w:pPr>
      <w:r>
        <w:annotationRef/>
      </w:r>
      <w:r>
        <w:rPr>
          <w:rFonts w:ascii="Arial" w:hAnsi="Arial" w:eastAsia="Times New Roman" w:cs="Arial"/>
          <w:color w:val="auto"/>
          <w:sz w:val="20"/>
          <w:szCs w:val="20"/>
          <w:lang w:eastAsia="en-US" w:val="en-US" w:bidi="ar-SA"/>
        </w:rPr>
        <w:t>Graphic should not have title separate form that in document</w:t>
      </w:r>
    </w:p>
  </w:comment>
  <w:comment w:id="14" w:author="Heberto Molina" w:date="0-00-00T00:00:00Z" w:initials="HM">
    <w:p>
      <w:pPr>
        <w:overflowPunct w:val="false"/>
        <w:bidi w:val="0"/>
        <w:rPr/>
      </w:pPr>
      <w:r>
        <w:annotationRef/>
      </w:r>
      <w:r>
        <w:rPr>
          <w:rFonts w:ascii="Arial" w:hAnsi="Arial" w:eastAsia="Times New Roman" w:cs="Arial"/>
          <w:color w:val="auto"/>
          <w:sz w:val="20"/>
          <w:szCs w:val="20"/>
          <w:lang w:eastAsia="en-US" w:val="en-US" w:bidi="ar-SA"/>
        </w:rPr>
        <w:t xml:space="preserve"> \\snyc14207\ProjFin\yellen\990920095.xls</w:t>
      </w:r>
    </w:p>
    <w:p>
      <w:pPr>
        <w:overflowPunct w:val="false"/>
        <w:bidi w:val="0"/>
        <w:rPr/>
      </w:pPr>
      <w:r>
        <w:rPr>
          <w:rFonts w:ascii="Arial" w:hAnsi="Arial" w:eastAsia="Times New Roman" w:cs="Arial"/>
          <w:color w:val="auto"/>
          <w:sz w:val="20"/>
          <w:szCs w:val="20"/>
          <w:lang w:eastAsia="en-US" w:val="en-US" w:bidi="ar-SA"/>
        </w:rPr>
        <w:t>4/26/99 3:34:43 PM</w:t>
      </w:r>
    </w:p>
  </w:comment>
  <w:comment w:id="15" w:author="EUS" w:date="0-00-00T00:00:00Z" w:initials="E">
    <w:p>
      <w:pPr>
        <w:overflowPunct w:val="false"/>
        <w:bidi w:val="0"/>
        <w:rPr/>
      </w:pPr>
      <w:r>
        <w:annotationRef/>
      </w:r>
      <w:r>
        <w:rPr>
          <w:rFonts w:ascii="Arial" w:hAnsi="Arial" w:eastAsia="Times New Roman" w:cs="Arial"/>
          <w:color w:val="auto"/>
          <w:sz w:val="20"/>
          <w:szCs w:val="20"/>
          <w:lang w:eastAsia="en-US" w:val="en-US" w:bidi="ar-SA"/>
        </w:rPr>
        <w:t>Is the difference in total generation and net energy in above table due to energy sales, if so, we should note it.</w:t>
      </w:r>
    </w:p>
  </w:comment>
  <w:comment w:id="16" w:author="EUS" w:date="0-00-00T00:00:00Z" w:initials="E">
    <w:p>
      <w:pPr>
        <w:overflowPunct w:val="false"/>
        <w:bidi w:val="0"/>
        <w:rPr/>
      </w:pPr>
      <w:r>
        <w:annotationRef/>
      </w:r>
      <w:r>
        <w:rPr>
          <w:rFonts w:ascii="Arial" w:hAnsi="Arial" w:eastAsia="Times New Roman" w:cs="Arial"/>
          <w:color w:val="auto"/>
          <w:sz w:val="20"/>
          <w:szCs w:val="20"/>
          <w:lang w:eastAsia="en-US" w:val="en-US" w:bidi="ar-SA"/>
        </w:rPr>
        <w:t>Footnotes and source to table</w:t>
      </w:r>
    </w:p>
  </w:comment>
  <w:comment w:id="17" w:author="EUS" w:date="0-00-00T00:00:00Z" w:initials="E">
    <w:p>
      <w:pPr>
        <w:overflowPunct w:val="false"/>
        <w:bidi w:val="0"/>
        <w:rPr/>
      </w:pPr>
      <w:r>
        <w:annotationRef/>
      </w:r>
      <w:r>
        <w:rPr>
          <w:rFonts w:ascii="Arial" w:hAnsi="Arial" w:eastAsia="Times New Roman" w:cs="Arial"/>
          <w:color w:val="auto"/>
          <w:sz w:val="20"/>
          <w:szCs w:val="20"/>
          <w:lang w:eastAsia="en-US" w:val="en-US" w:bidi="ar-SA"/>
        </w:rPr>
        <w:t>This again seems to be the weekly, what does the daily get to?</w:t>
      </w:r>
    </w:p>
  </w:comment>
  <w:comment w:id="18" w:author="Heberto Molina" w:date="0-00-00T00:00:00Z" w:initials="HM">
    <w:p>
      <w:pPr>
        <w:overflowPunct w:val="false"/>
        <w:bidi w:val="0"/>
        <w:rPr/>
      </w:pPr>
      <w:r>
        <w:annotationRef/>
      </w:r>
      <w:r>
        <w:rPr>
          <w:rFonts w:ascii="Arial" w:hAnsi="Arial" w:eastAsia="Times New Roman" w:cs="Arial"/>
          <w:color w:val="auto"/>
          <w:sz w:val="20"/>
          <w:szCs w:val="20"/>
          <w:lang w:eastAsia="en-US" w:val="en-US" w:bidi="ar-SA"/>
        </w:rPr>
        <w:t xml:space="preserve"> \\snyc14207\ProjFin\yellen\990920095.xls</w:t>
      </w:r>
    </w:p>
    <w:p>
      <w:pPr>
        <w:overflowPunct w:val="false"/>
        <w:bidi w:val="0"/>
        <w:rPr/>
      </w:pPr>
      <w:r>
        <w:rPr>
          <w:rFonts w:ascii="Arial" w:hAnsi="Arial" w:eastAsia="Times New Roman" w:cs="Arial"/>
          <w:color w:val="auto"/>
          <w:sz w:val="20"/>
          <w:szCs w:val="20"/>
          <w:lang w:eastAsia="en-US" w:val="en-US" w:bidi="ar-SA"/>
        </w:rPr>
        <w:t>4/28/99 2:32:37 PM</w:t>
      </w:r>
    </w:p>
  </w:comment>
  <w:comment w:id="19" w:author="Heberto Molina" w:date="0-00-00T00:00:00Z" w:initials="HM">
    <w:p>
      <w:pPr>
        <w:overflowPunct w:val="false"/>
        <w:bidi w:val="0"/>
        <w:rPr/>
      </w:pPr>
      <w:r>
        <w:annotationRef/>
      </w:r>
      <w:r>
        <w:rPr>
          <w:rFonts w:ascii="Arial" w:hAnsi="Arial" w:eastAsia="Times New Roman" w:cs="Arial"/>
          <w:color w:val="auto"/>
          <w:sz w:val="20"/>
          <w:szCs w:val="20"/>
          <w:lang w:eastAsia="en-US" w:val="en-US" w:bidi="ar-SA"/>
        </w:rPr>
        <w:t xml:space="preserve"> \\snyc14207\ProjFin\yellen\990920095.xls</w:t>
      </w:r>
    </w:p>
    <w:p>
      <w:pPr>
        <w:overflowPunct w:val="false"/>
        <w:bidi w:val="0"/>
        <w:rPr/>
      </w:pPr>
      <w:r>
        <w:rPr>
          <w:rFonts w:ascii="Arial" w:hAnsi="Arial" w:eastAsia="Times New Roman" w:cs="Arial"/>
          <w:color w:val="auto"/>
          <w:sz w:val="20"/>
          <w:szCs w:val="20"/>
          <w:lang w:eastAsia="en-US" w:val="en-US" w:bidi="ar-SA"/>
        </w:rPr>
        <w:t>4/28/99 2:31:01 PM</w:t>
      </w:r>
    </w:p>
  </w:comment>
  <w:comment w:id="20" w:author="EUS" w:date="0-00-00T00:00:00Z" w:initials="E">
    <w:p>
      <w:pPr>
        <w:overflowPunct w:val="false"/>
        <w:bidi w:val="0"/>
        <w:rPr/>
      </w:pPr>
      <w:r>
        <w:annotationRef/>
      </w:r>
      <w:r>
        <w:rPr>
          <w:rFonts w:ascii="Arial" w:hAnsi="Arial" w:eastAsia="Times New Roman" w:cs="Arial"/>
          <w:color w:val="auto"/>
          <w:sz w:val="20"/>
          <w:szCs w:val="20"/>
          <w:lang w:eastAsia="en-US" w:val="en-US" w:bidi="ar-SA"/>
        </w:rPr>
        <w:t>Seems to be disconnect between generation in this table and purchases/net energy above</w:t>
      </w:r>
    </w:p>
  </w:comment>
  <w:comment w:id="21" w:author="EUS" w:date="0-00-00T00:00:00Z" w:initials="E">
    <w:p>
      <w:pPr>
        <w:overflowPunct w:val="false"/>
        <w:bidi w:val="0"/>
        <w:rPr/>
      </w:pPr>
      <w:r>
        <w:annotationRef/>
      </w:r>
      <w:r>
        <w:rPr>
          <w:rFonts w:ascii="Arial" w:hAnsi="Arial" w:eastAsia="Times New Roman" w:cs="Arial"/>
          <w:color w:val="auto"/>
          <w:sz w:val="20"/>
          <w:szCs w:val="20"/>
          <w:lang w:eastAsia="en-US" w:val="en-US" w:bidi="ar-SA"/>
        </w:rPr>
        <w:t>Are there daily series for TVA?</w:t>
      </w:r>
    </w:p>
  </w:comment>
  <w:comment w:id="22" w:author="EUS" w:date="0-00-00T00:00:00Z" w:initials="E">
    <w:p>
      <w:pPr>
        <w:overflowPunct w:val="false"/>
        <w:bidi w:val="0"/>
        <w:rPr/>
      </w:pPr>
      <w:r>
        <w:annotationRef/>
      </w:r>
      <w:r>
        <w:rPr>
          <w:rFonts w:ascii="Arial" w:hAnsi="Arial" w:eastAsia="Times New Roman" w:cs="Arial"/>
          <w:color w:val="auto"/>
          <w:sz w:val="20"/>
          <w:szCs w:val="20"/>
          <w:lang w:eastAsia="en-US" w:val="en-US" w:bidi="ar-SA"/>
        </w:rPr>
        <w:t xml:space="preserve">To be consistent with MAIN table, show Into TVA before SERC </w:t>
      </w:r>
    </w:p>
  </w:comment>
  <w:comment w:id="23" w:author="EUS" w:date="0-00-00T00:00:00Z" w:initials="E">
    <w:p>
      <w:pPr>
        <w:overflowPunct w:val="false"/>
        <w:bidi w:val="0"/>
        <w:rPr/>
      </w:pPr>
      <w:r>
        <w:annotationRef/>
      </w:r>
      <w:r>
        <w:rPr>
          <w:rFonts w:ascii="Arial" w:hAnsi="Arial" w:eastAsia="Times New Roman" w:cs="Arial"/>
          <w:color w:val="auto"/>
          <w:sz w:val="20"/>
          <w:szCs w:val="20"/>
          <w:lang w:eastAsia="en-US" w:val="en-US" w:bidi="ar-SA"/>
        </w:rPr>
        <w:t>Footnotes and source should be with table</w:t>
      </w:r>
    </w:p>
  </w:comment>
</w:comments>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Arial Bold">
    <w:charset w:val="00" w:characterSet="windows-1252"/>
    <w:family w:val="swiss"/>
    <w:pitch w:val="variable"/>
  </w:font>
  <w:font w:name="Wingdings">
    <w:charset w:val="02"/>
    <w:family w:val="auto"/>
    <w:pitch w:val="variable"/>
  </w:font>
  <w:font w:name="Liberation Sans">
    <w:altName w:val="Arial"/>
    <w:charset w:val="01" w:characterSet="utf-8"/>
    <w:family w:val="swiss"/>
    <w:pitch w:val="variable"/>
  </w:font>
  <w:font w:name="Tahoma">
    <w:charset w:val="00" w:characterSet="windows-1252"/>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rPr>
        <w:lang w:val="en-CA"/>
      </w:rPr>
    </w:pPr>
    <w:r>
      <w:rPr>
        <w:lang w:val="en-CA"/>
      </w:rPr>
      <mc:AlternateContent>
        <mc:Choice Requires="wps">
          <w:drawing>
            <wp:anchor behindDoc="1" distT="0" distB="0" distL="114935" distR="114935" simplePos="0" locked="0" layoutInCell="0" allowOverlap="1" relativeHeight="13">
              <wp:simplePos x="0" y="0"/>
              <wp:positionH relativeFrom="page">
                <wp:posOffset>1828800</wp:posOffset>
              </wp:positionH>
              <wp:positionV relativeFrom="page">
                <wp:posOffset>419100</wp:posOffset>
              </wp:positionV>
              <wp:extent cx="1917700" cy="0"/>
              <wp:effectExtent l="0" t="31750" r="0" b="31750"/>
              <wp:wrapNone/>
              <wp:docPr id="1"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44pt,33pt" to="294.95pt,33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4">
              <wp:simplePos x="0" y="0"/>
              <wp:positionH relativeFrom="page">
                <wp:posOffset>876300</wp:posOffset>
              </wp:positionH>
              <wp:positionV relativeFrom="page">
                <wp:posOffset>355600</wp:posOffset>
              </wp:positionV>
              <wp:extent cx="0" cy="8896350"/>
              <wp:effectExtent l="1905" t="0" r="1905" b="0"/>
              <wp:wrapNone/>
              <wp:docPr id="2"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pt,28pt" to="69pt,728.4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5">
              <wp:simplePos x="0" y="0"/>
              <wp:positionH relativeFrom="page">
                <wp:posOffset>7353300</wp:posOffset>
              </wp:positionH>
              <wp:positionV relativeFrom="page">
                <wp:posOffset>355600</wp:posOffset>
              </wp:positionV>
              <wp:extent cx="0" cy="8896350"/>
              <wp:effectExtent l="1905" t="0" r="1905" b="0"/>
              <wp:wrapNone/>
              <wp:docPr id="3"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9pt,28pt" to="579pt,728.45pt" stroked="t" o:allowincell="f" style="position:absolute;mso-position-horizontal-relative:page;mso-position-vertical-relative:page">
              <v:stroke color="black" weight="3240" joinstyle="miter" endcap="flat"/>
              <v:fill o:detectmouseclick="t" on="false"/>
              <w10:wrap type="none"/>
            </v:line>
          </w:pict>
        </mc:Fallback>
      </mc:AlternateContent>
      <w:drawing>
        <wp:anchor behindDoc="1" distT="0" distB="0" distL="114935" distR="114935" simplePos="0" locked="0" layoutInCell="0" allowOverlap="1" relativeHeight="16">
          <wp:simplePos x="0" y="0"/>
          <wp:positionH relativeFrom="page">
            <wp:posOffset>1117600</wp:posOffset>
          </wp:positionH>
          <wp:positionV relativeFrom="page">
            <wp:posOffset>9287510</wp:posOffset>
          </wp:positionV>
          <wp:extent cx="1781175" cy="516890"/>
          <wp:effectExtent l="0" t="0" r="0" b="0"/>
          <wp:wrapNone/>
          <wp:docPr id="4" name="CS-First%20Boston%20Logo%20RGB%20B&amp;W"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First%20Boston%20Logo%20RGB%20B&amp;W" descr="" title=""/>
                  <pic:cNvPicPr>
                    <a:picLocks noChangeAspect="1" noChangeArrowheads="1"/>
                  </pic:cNvPicPr>
                </pic:nvPicPr>
                <pic:blipFill>
                  <a:blip r:embed="rId1"/>
                  <a:srcRect l="-20" t="-70" r="-20" b="-70"/>
                  <a:stretch>
                    <a:fillRect/>
                  </a:stretch>
                </pic:blipFill>
                <pic:spPr bwMode="auto">
                  <a:xfrm>
                    <a:off x="0" y="0"/>
                    <a:ext cx="1781175" cy="516890"/>
                  </a:xfrm>
                  <a:prstGeom prst="rect">
                    <a:avLst/>
                  </a:prstGeom>
                  <a:noFill/>
                </pic:spPr>
              </pic:pic>
            </a:graphicData>
          </a:graphic>
        </wp:anchor>
      </w:drawing>
    </w:r>
    <w:r>
      <mc:AlternateContent>
        <mc:Choice Requires="wps">
          <w:drawing>
            <wp:anchor behindDoc="0" distT="0" distB="0" distL="0" distR="0" simplePos="0" locked="0" layoutInCell="0" allowOverlap="1" relativeHeight="12">
              <wp:simplePos x="0" y="0"/>
              <wp:positionH relativeFrom="page">
                <wp:posOffset>6934835</wp:posOffset>
              </wp:positionH>
              <wp:positionV relativeFrom="page">
                <wp:posOffset>356235</wp:posOffset>
              </wp:positionV>
              <wp:extent cx="304800" cy="131445"/>
              <wp:effectExtent l="0" t="0" r="0" b="0"/>
              <wp:wrapTopAndBottom/>
              <wp:docPr id="5" name="Frame1"/>
              <a:graphic xmlns:a="http://schemas.openxmlformats.org/drawingml/2006/main">
                <a:graphicData uri="http://schemas.microsoft.com/office/word/2010/wordprocessingShape">
                  <wps:wsp>
                    <wps:cNvSpPr txBox="1"/>
                    <wps:spPr>
                      <a:xfrm>
                        <a:off x="0" y="0"/>
                        <a:ext cx="304800" cy="131445"/>
                      </a:xfrm>
                      <a:prstGeom prst="rect"/>
                      <a:solidFill>
                        <a:srgbClr val="FFFFFF">
                          <a:alpha val="0"/>
                        </a:srgbClr>
                      </a:solidFill>
                    </wps:spPr>
                    <wps:txbx>
                      <w:txbxContent>
                        <w:p>
                          <w:pPr>
                            <w:pStyle w:val="Header"/>
                            <w:jc w:val="end"/>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24pt;height:10.35pt;mso-wrap-distance-left:0pt;mso-wrap-distance-right:0pt;mso-wrap-distance-top:0pt;mso-wrap-distance-bottom:0pt;margin-top:28.05pt;mso-position-vertical-relative:page;margin-left:546.05pt;mso-position-horizontal-relative:page">
              <v:fill opacity="0f"/>
              <v:textbox inset="0in,0in,0in,0in">
                <w:txbxContent>
                  <w:p>
                    <w:pPr>
                      <w:pStyle w:val="Header"/>
                      <w:jc w:val="end"/>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xbxContent>
              </v:textbox>
              <w10:wrap type="topAndBottom"/>
            </v:rect>
          </w:pict>
        </mc:Fallback>
      </mc:AlternateContent>
    </w:r>
    <w:r>
      <mc:AlternateContent>
        <mc:Choice Requires="wps">
          <w:drawing>
            <wp:anchor behindDoc="1" distT="0" distB="0" distL="114935" distR="114935" simplePos="0" locked="0" layoutInCell="0" allowOverlap="1" relativeHeight="17">
              <wp:simplePos x="0" y="0"/>
              <wp:positionH relativeFrom="page">
                <wp:posOffset>1828800</wp:posOffset>
              </wp:positionH>
              <wp:positionV relativeFrom="page">
                <wp:posOffset>476250</wp:posOffset>
              </wp:positionV>
              <wp:extent cx="4572000" cy="406400"/>
              <wp:effectExtent l="0" t="0" r="0" b="0"/>
              <wp:wrapNone/>
              <wp:docPr id="6" name="Frame3"/>
              <a:graphic xmlns:a="http://schemas.openxmlformats.org/drawingml/2006/main">
                <a:graphicData uri="http://schemas.microsoft.com/office/word/2010/wordprocessingShape">
                  <wps:wsp>
                    <wps:cNvSpPr txBox="1"/>
                    <wps:spPr>
                      <a:xfrm>
                        <a:off x="0" y="0"/>
                        <a:ext cx="4572000" cy="406400"/>
                      </a:xfrm>
                      <a:prstGeom prst="rect"/>
                      <a:solidFill>
                        <a:srgbClr val="FFFFFF">
                          <a:alpha val="0"/>
                        </a:srgbClr>
                      </a:solidFill>
                    </wps:spPr>
                    <wps:txbx>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wps:txbx>
                    <wps:bodyPr anchor="t" lIns="635" tIns="635" rIns="635" bIns="635">
                      <a:noAutofit/>
                    </wps:bodyPr>
                  </wps:wsp>
                </a:graphicData>
              </a:graphic>
            </wp:anchor>
          </w:drawing>
        </mc:Choice>
        <mc:Fallback>
          <w:pict>
            <v:rect fillcolor="#FFFFFF" style="position:absolute;rotation:-0;width:360pt;height:32pt;mso-wrap-distance-left:9.05pt;mso-wrap-distance-right:9.05pt;mso-wrap-distance-top:0pt;mso-wrap-distance-bottom:0pt;margin-top:37.5pt;mso-position-vertical-relative:page;margin-left:144pt;mso-position-horizontal-relative:page">
              <v:fill opacity="0f"/>
              <v:textbox inset="0.000694444444444445in,0.000694444444444445in,0.000694444444444445in,0.000694444444444445in">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v:textbox>
              <w10:wrap type="none"/>
            </v:rect>
          </w:pict>
        </mc:Fallback>
      </mc:AlternateContent>
    </w:r>
    <w:r>
      <mc:AlternateContent>
        <mc:Choice Requires="wps">
          <w:drawing>
            <wp:anchor behindDoc="1" distT="0" distB="0" distL="114935" distR="114935" simplePos="0" locked="0" layoutInCell="0" allowOverlap="1" relativeHeight="18">
              <wp:simplePos x="0" y="0"/>
              <wp:positionH relativeFrom="page">
                <wp:posOffset>5740400</wp:posOffset>
              </wp:positionH>
              <wp:positionV relativeFrom="page">
                <wp:posOffset>355600</wp:posOffset>
              </wp:positionV>
              <wp:extent cx="952500" cy="127000"/>
              <wp:effectExtent l="0" t="0" r="0" b="0"/>
              <wp:wrapNone/>
              <wp:docPr id="7" name="Frame2"/>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pt;mso-position-vertical-relative:page;margin-left:452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rPr>
        <w:lang w:val="en-CA"/>
      </w:rPr>
    </w:pPr>
    <w:r>
      <w:rPr>
        <w:lang w:val="en-CA"/>
      </w:rPr>
      <mc:AlternateContent>
        <mc:Choice Requires="wps">
          <w:drawing>
            <wp:anchor behindDoc="1" distT="0" distB="0" distL="114935" distR="114935" simplePos="0" locked="0" layoutInCell="0" allowOverlap="1" relativeHeight="44">
              <wp:simplePos x="0" y="0"/>
              <wp:positionH relativeFrom="page">
                <wp:posOffset>1828800</wp:posOffset>
              </wp:positionH>
              <wp:positionV relativeFrom="page">
                <wp:posOffset>419100</wp:posOffset>
              </wp:positionV>
              <wp:extent cx="1917700" cy="0"/>
              <wp:effectExtent l="0" t="31750" r="0" b="31750"/>
              <wp:wrapNone/>
              <wp:docPr id="16"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44pt,33pt" to="294.95pt,33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3">
              <wp:simplePos x="0" y="0"/>
              <wp:positionH relativeFrom="page">
                <wp:posOffset>876300</wp:posOffset>
              </wp:positionH>
              <wp:positionV relativeFrom="page">
                <wp:posOffset>355600</wp:posOffset>
              </wp:positionV>
              <wp:extent cx="0" cy="8896350"/>
              <wp:effectExtent l="1905" t="0" r="1905" b="0"/>
              <wp:wrapNone/>
              <wp:docPr id="17"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pt,28pt" to="69pt,728.4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2">
              <wp:simplePos x="0" y="0"/>
              <wp:positionH relativeFrom="page">
                <wp:posOffset>7353300</wp:posOffset>
              </wp:positionH>
              <wp:positionV relativeFrom="page">
                <wp:posOffset>355600</wp:posOffset>
              </wp:positionV>
              <wp:extent cx="0" cy="8896350"/>
              <wp:effectExtent l="1905" t="0" r="1905" b="0"/>
              <wp:wrapNone/>
              <wp:docPr id="18"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9pt,28pt" to="579pt,728.45pt" stroked="t" o:allowincell="f" style="position:absolute;mso-position-horizontal-relative:page;mso-position-vertical-relative:page">
              <v:stroke color="black" weight="3240" joinstyle="miter" endcap="flat"/>
              <v:fill o:detectmouseclick="t" on="false"/>
              <w10:wrap type="none"/>
            </v:line>
          </w:pict>
        </mc:Fallback>
      </mc:AlternateContent>
      <w:drawing>
        <wp:anchor behindDoc="1" distT="0" distB="0" distL="114935" distR="114935" simplePos="0" locked="0" layoutInCell="0" allowOverlap="1" relativeHeight="71">
          <wp:simplePos x="0" y="0"/>
          <wp:positionH relativeFrom="page">
            <wp:posOffset>1117600</wp:posOffset>
          </wp:positionH>
          <wp:positionV relativeFrom="page">
            <wp:posOffset>9287510</wp:posOffset>
          </wp:positionV>
          <wp:extent cx="1781175" cy="516890"/>
          <wp:effectExtent l="0" t="0" r="0" b="0"/>
          <wp:wrapNone/>
          <wp:docPr id="19" name="CS-First%20Boston%20Logo%20RGB%20B&amp;W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S-First%20Boston%20Logo%20RGB%20B&amp;W Copy 1" descr="" title=""/>
                  <pic:cNvPicPr>
                    <a:picLocks noChangeAspect="1" noChangeArrowheads="1"/>
                  </pic:cNvPicPr>
                </pic:nvPicPr>
                <pic:blipFill>
                  <a:blip r:embed="rId1"/>
                  <a:srcRect l="-20" t="-70" r="-20" b="-70"/>
                  <a:stretch>
                    <a:fillRect/>
                  </a:stretch>
                </pic:blipFill>
                <pic:spPr bwMode="auto">
                  <a:xfrm>
                    <a:off x="0" y="0"/>
                    <a:ext cx="1781175" cy="516890"/>
                  </a:xfrm>
                  <a:prstGeom prst="rect">
                    <a:avLst/>
                  </a:prstGeom>
                  <a:noFill/>
                </pic:spPr>
              </pic:pic>
            </a:graphicData>
          </a:graphic>
        </wp:anchor>
      </w:drawing>
    </w:r>
    <w:r>
      <mc:AlternateContent>
        <mc:Choice Requires="wps">
          <w:drawing>
            <wp:anchor behindDoc="0" distT="0" distB="0" distL="0" distR="0" simplePos="0" locked="0" layoutInCell="0" allowOverlap="1" relativeHeight="35">
              <wp:simplePos x="0" y="0"/>
              <wp:positionH relativeFrom="page">
                <wp:posOffset>6934835</wp:posOffset>
              </wp:positionH>
              <wp:positionV relativeFrom="page">
                <wp:posOffset>356235</wp:posOffset>
              </wp:positionV>
              <wp:extent cx="304800" cy="131445"/>
              <wp:effectExtent l="0" t="0" r="0" b="0"/>
              <wp:wrapTopAndBottom/>
              <wp:docPr id="20" name="Frame4"/>
              <a:graphic xmlns:a="http://schemas.openxmlformats.org/drawingml/2006/main">
                <a:graphicData uri="http://schemas.microsoft.com/office/word/2010/wordprocessingShape">
                  <wps:wsp>
                    <wps:cNvSpPr txBox="1"/>
                    <wps:spPr>
                      <a:xfrm>
                        <a:off x="0" y="0"/>
                        <a:ext cx="304800" cy="131445"/>
                      </a:xfrm>
                      <a:prstGeom prst="rect"/>
                      <a:solidFill>
                        <a:srgbClr val="FFFFFF">
                          <a:alpha val="0"/>
                        </a:srgbClr>
                      </a:solidFill>
                    </wps:spPr>
                    <wps:txbx>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24pt;height:10.35pt;mso-wrap-distance-left:0pt;mso-wrap-distance-right:0pt;mso-wrap-distance-top:0pt;mso-wrap-distance-bottom:0pt;margin-top:28.05pt;mso-position-vertical-relative:page;margin-left:546.05pt;mso-position-horizontal-relative:page">
              <v:fill opacity="0f"/>
              <v:textbox inset="0in,0in,0in,0in">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txbxContent>
              </v:textbox>
              <w10:wrap type="topAndBottom"/>
            </v:rect>
          </w:pict>
        </mc:Fallback>
      </mc:AlternateContent>
    </w:r>
    <w:r>
      <mc:AlternateContent>
        <mc:Choice Requires="wps">
          <w:drawing>
            <wp:anchor behindDoc="1" distT="0" distB="0" distL="114935" distR="114935" simplePos="0" locked="0" layoutInCell="0" allowOverlap="1" relativeHeight="80">
              <wp:simplePos x="0" y="0"/>
              <wp:positionH relativeFrom="page">
                <wp:posOffset>1828800</wp:posOffset>
              </wp:positionH>
              <wp:positionV relativeFrom="page">
                <wp:posOffset>476250</wp:posOffset>
              </wp:positionV>
              <wp:extent cx="4572000" cy="406400"/>
              <wp:effectExtent l="0" t="0" r="0" b="0"/>
              <wp:wrapNone/>
              <wp:docPr id="21" name="Frame5"/>
              <a:graphic xmlns:a="http://schemas.openxmlformats.org/drawingml/2006/main">
                <a:graphicData uri="http://schemas.microsoft.com/office/word/2010/wordprocessingShape">
                  <wps:wsp>
                    <wps:cNvSpPr txBox="1"/>
                    <wps:spPr>
                      <a:xfrm>
                        <a:off x="0" y="0"/>
                        <a:ext cx="4572000" cy="406400"/>
                      </a:xfrm>
                      <a:prstGeom prst="rect"/>
                      <a:solidFill>
                        <a:srgbClr val="FFFFFF">
                          <a:alpha val="0"/>
                        </a:srgbClr>
                      </a:solidFill>
                    </wps:spPr>
                    <wps:txbx>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wps:txbx>
                    <wps:bodyPr anchor="t" lIns="635" tIns="635" rIns="635" bIns="635">
                      <a:noAutofit/>
                    </wps:bodyPr>
                  </wps:wsp>
                </a:graphicData>
              </a:graphic>
            </wp:anchor>
          </w:drawing>
        </mc:Choice>
        <mc:Fallback>
          <w:pict>
            <v:rect fillcolor="#FFFFFF" style="position:absolute;rotation:-0;width:360pt;height:32pt;mso-wrap-distance-left:9.05pt;mso-wrap-distance-right:9.05pt;mso-wrap-distance-top:0pt;mso-wrap-distance-bottom:0pt;margin-top:37.5pt;mso-position-vertical-relative:page;margin-left:144pt;mso-position-horizontal-relative:page">
              <v:fill opacity="0f"/>
              <v:textbox inset="0.000694444444444445in,0.000694444444444445in,0.000694444444444445in,0.000694444444444445in">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v:textbox>
              <w10:wrap type="none"/>
            </v:rect>
          </w:pict>
        </mc:Fallback>
      </mc:AlternateContent>
    </w:r>
    <w:r>
      <mc:AlternateContent>
        <mc:Choice Requires="wps">
          <w:drawing>
            <wp:anchor behindDoc="1" distT="0" distB="0" distL="114935" distR="114935" simplePos="0" locked="0" layoutInCell="0" allowOverlap="1" relativeHeight="89">
              <wp:simplePos x="0" y="0"/>
              <wp:positionH relativeFrom="page">
                <wp:posOffset>5740400</wp:posOffset>
              </wp:positionH>
              <wp:positionV relativeFrom="page">
                <wp:posOffset>355600</wp:posOffset>
              </wp:positionV>
              <wp:extent cx="952500" cy="127000"/>
              <wp:effectExtent l="0" t="0" r="0" b="0"/>
              <wp:wrapNone/>
              <wp:docPr id="22" name="Frame6"/>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pt;mso-position-vertical-relative:page;margin-left:452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rPr>
        <w:lang w:val="en-CA"/>
      </w:rPr>
    </w:pPr>
    <w:r>
      <w:rPr>
        <w:lang w:val="en-CA"/>
      </w:rPr>
      <mc:AlternateContent>
        <mc:Choice Requires="wps">
          <w:drawing>
            <wp:anchor behindDoc="1" distT="0" distB="0" distL="114935" distR="114935" simplePos="0" locked="0" layoutInCell="0" allowOverlap="1" relativeHeight="91">
              <wp:simplePos x="0" y="0"/>
              <wp:positionH relativeFrom="page">
                <wp:posOffset>1828800</wp:posOffset>
              </wp:positionH>
              <wp:positionV relativeFrom="page">
                <wp:posOffset>419100</wp:posOffset>
              </wp:positionV>
              <wp:extent cx="1917700" cy="0"/>
              <wp:effectExtent l="0" t="31750" r="0" b="31750"/>
              <wp:wrapNone/>
              <wp:docPr id="23"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44pt,33pt" to="294.95pt,33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92">
              <wp:simplePos x="0" y="0"/>
              <wp:positionH relativeFrom="page">
                <wp:posOffset>876300</wp:posOffset>
              </wp:positionH>
              <wp:positionV relativeFrom="page">
                <wp:posOffset>355600</wp:posOffset>
              </wp:positionV>
              <wp:extent cx="0" cy="8896350"/>
              <wp:effectExtent l="1905" t="0" r="1905" b="0"/>
              <wp:wrapNone/>
              <wp:docPr id="24"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pt,28pt" to="69pt,728.4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93">
              <wp:simplePos x="0" y="0"/>
              <wp:positionH relativeFrom="page">
                <wp:posOffset>7353300</wp:posOffset>
              </wp:positionH>
              <wp:positionV relativeFrom="page">
                <wp:posOffset>355600</wp:posOffset>
              </wp:positionV>
              <wp:extent cx="0" cy="8896350"/>
              <wp:effectExtent l="1905" t="0" r="1905" b="0"/>
              <wp:wrapNone/>
              <wp:docPr id="25"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9pt,28pt" to="579pt,728.45pt" stroked="t" o:allowincell="f" style="position:absolute;mso-position-horizontal-relative:page;mso-position-vertical-relative:page">
              <v:stroke color="black" weight="3240" joinstyle="miter" endcap="flat"/>
              <v:fill o:detectmouseclick="t" on="false"/>
              <w10:wrap type="none"/>
            </v:line>
          </w:pict>
        </mc:Fallback>
      </mc:AlternateContent>
      <w:drawing>
        <wp:anchor behindDoc="1" distT="0" distB="0" distL="114935" distR="114935" simplePos="0" locked="0" layoutInCell="0" allowOverlap="1" relativeHeight="94">
          <wp:simplePos x="0" y="0"/>
          <wp:positionH relativeFrom="page">
            <wp:posOffset>1117600</wp:posOffset>
          </wp:positionH>
          <wp:positionV relativeFrom="page">
            <wp:posOffset>9287510</wp:posOffset>
          </wp:positionV>
          <wp:extent cx="1781175" cy="516890"/>
          <wp:effectExtent l="0" t="0" r="0" b="0"/>
          <wp:wrapNone/>
          <wp:docPr id="26" name="CS-First%20Boston%20Logo%20RGB%20B&amp;W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S-First%20Boston%20Logo%20RGB%20B&amp;W Copy 1 Copy 1" descr="" title=""/>
                  <pic:cNvPicPr>
                    <a:picLocks noChangeAspect="1" noChangeArrowheads="1"/>
                  </pic:cNvPicPr>
                </pic:nvPicPr>
                <pic:blipFill>
                  <a:blip r:embed="rId1"/>
                  <a:srcRect l="-20" t="-70" r="-20" b="-70"/>
                  <a:stretch>
                    <a:fillRect/>
                  </a:stretch>
                </pic:blipFill>
                <pic:spPr bwMode="auto">
                  <a:xfrm>
                    <a:off x="0" y="0"/>
                    <a:ext cx="1781175" cy="516890"/>
                  </a:xfrm>
                  <a:prstGeom prst="rect">
                    <a:avLst/>
                  </a:prstGeom>
                  <a:noFill/>
                </pic:spPr>
              </pic:pic>
            </a:graphicData>
          </a:graphic>
        </wp:anchor>
      </w:drawing>
    </w:r>
    <w:r>
      <mc:AlternateContent>
        <mc:Choice Requires="wps">
          <w:drawing>
            <wp:anchor behindDoc="0" distT="0" distB="0" distL="0" distR="0" simplePos="0" locked="0" layoutInCell="0" allowOverlap="1" relativeHeight="90">
              <wp:simplePos x="0" y="0"/>
              <wp:positionH relativeFrom="page">
                <wp:posOffset>6934835</wp:posOffset>
              </wp:positionH>
              <wp:positionV relativeFrom="page">
                <wp:posOffset>356235</wp:posOffset>
              </wp:positionV>
              <wp:extent cx="304800" cy="131445"/>
              <wp:effectExtent l="0" t="0" r="0" b="0"/>
              <wp:wrapTopAndBottom/>
              <wp:docPr id="27" name="Frame7"/>
              <a:graphic xmlns:a="http://schemas.openxmlformats.org/drawingml/2006/main">
                <a:graphicData uri="http://schemas.microsoft.com/office/word/2010/wordprocessingShape">
                  <wps:wsp>
                    <wps:cNvSpPr txBox="1"/>
                    <wps:spPr>
                      <a:xfrm>
                        <a:off x="0" y="0"/>
                        <a:ext cx="304800" cy="131445"/>
                      </a:xfrm>
                      <a:prstGeom prst="rect"/>
                      <a:solidFill>
                        <a:srgbClr val="FFFFFF">
                          <a:alpha val="0"/>
                        </a:srgbClr>
                      </a:solidFill>
                    </wps:spPr>
                    <wps:txbx>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24pt;height:10.35pt;mso-wrap-distance-left:0pt;mso-wrap-distance-right:0pt;mso-wrap-distance-top:0pt;mso-wrap-distance-bottom:0pt;margin-top:28.05pt;mso-position-vertical-relative:page;margin-left:546.05pt;mso-position-horizontal-relative:page">
              <v:fill opacity="0f"/>
              <v:textbox inset="0in,0in,0in,0in">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txbxContent>
              </v:textbox>
              <w10:wrap type="topAndBottom"/>
            </v:rect>
          </w:pict>
        </mc:Fallback>
      </mc:AlternateContent>
    </w:r>
    <w:r>
      <mc:AlternateContent>
        <mc:Choice Requires="wps">
          <w:drawing>
            <wp:anchor behindDoc="1" distT="0" distB="0" distL="114935" distR="114935" simplePos="0" locked="0" layoutInCell="0" allowOverlap="1" relativeHeight="95">
              <wp:simplePos x="0" y="0"/>
              <wp:positionH relativeFrom="page">
                <wp:posOffset>1828800</wp:posOffset>
              </wp:positionH>
              <wp:positionV relativeFrom="page">
                <wp:posOffset>476250</wp:posOffset>
              </wp:positionV>
              <wp:extent cx="4572000" cy="406400"/>
              <wp:effectExtent l="0" t="0" r="0" b="0"/>
              <wp:wrapNone/>
              <wp:docPr id="28" name="Frame8"/>
              <a:graphic xmlns:a="http://schemas.openxmlformats.org/drawingml/2006/main">
                <a:graphicData uri="http://schemas.microsoft.com/office/word/2010/wordprocessingShape">
                  <wps:wsp>
                    <wps:cNvSpPr txBox="1"/>
                    <wps:spPr>
                      <a:xfrm>
                        <a:off x="0" y="0"/>
                        <a:ext cx="4572000" cy="406400"/>
                      </a:xfrm>
                      <a:prstGeom prst="rect"/>
                      <a:solidFill>
                        <a:srgbClr val="FFFFFF">
                          <a:alpha val="0"/>
                        </a:srgbClr>
                      </a:solidFill>
                    </wps:spPr>
                    <wps:txbx>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wps:txbx>
                    <wps:bodyPr anchor="t" lIns="635" tIns="635" rIns="635" bIns="635">
                      <a:noAutofit/>
                    </wps:bodyPr>
                  </wps:wsp>
                </a:graphicData>
              </a:graphic>
            </wp:anchor>
          </w:drawing>
        </mc:Choice>
        <mc:Fallback>
          <w:pict>
            <v:rect fillcolor="#FFFFFF" style="position:absolute;rotation:-0;width:360pt;height:32pt;mso-wrap-distance-left:9.05pt;mso-wrap-distance-right:9.05pt;mso-wrap-distance-top:0pt;mso-wrap-distance-bottom:0pt;margin-top:37.5pt;mso-position-vertical-relative:page;margin-left:144pt;mso-position-horizontal-relative:page">
              <v:fill opacity="0f"/>
              <v:textbox inset="0.000694444444444445in,0.000694444444444445in,0.000694444444444445in,0.000694444444444445in">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v:textbox>
              <w10:wrap type="none"/>
            </v:rect>
          </w:pict>
        </mc:Fallback>
      </mc:AlternateContent>
    </w:r>
    <w:r>
      <mc:AlternateContent>
        <mc:Choice Requires="wps">
          <w:drawing>
            <wp:anchor behindDoc="1" distT="0" distB="0" distL="114935" distR="114935" simplePos="0" locked="0" layoutInCell="0" allowOverlap="1" relativeHeight="96">
              <wp:simplePos x="0" y="0"/>
              <wp:positionH relativeFrom="page">
                <wp:posOffset>5740400</wp:posOffset>
              </wp:positionH>
              <wp:positionV relativeFrom="page">
                <wp:posOffset>355600</wp:posOffset>
              </wp:positionV>
              <wp:extent cx="952500" cy="127000"/>
              <wp:effectExtent l="0" t="0" r="0" b="0"/>
              <wp:wrapNone/>
              <wp:docPr id="29" name="Frame9"/>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pt;mso-position-vertical-relative:page;margin-left:452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rPr>
        <w:lang w:val="en-CA"/>
      </w:rPr>
    </w:pPr>
    <w:r>
      <w:rPr>
        <w:lang w:val="en-CA"/>
      </w:rPr>
      <mc:AlternateContent>
        <mc:Choice Requires="wps">
          <w:drawing>
            <wp:anchor behindDoc="1" distT="0" distB="0" distL="114935" distR="114935" simplePos="0" locked="0" layoutInCell="0" allowOverlap="1" relativeHeight="118">
              <wp:simplePos x="0" y="0"/>
              <wp:positionH relativeFrom="page">
                <wp:posOffset>1828800</wp:posOffset>
              </wp:positionH>
              <wp:positionV relativeFrom="page">
                <wp:posOffset>419100</wp:posOffset>
              </wp:positionV>
              <wp:extent cx="1917700" cy="0"/>
              <wp:effectExtent l="0" t="31750" r="0" b="31750"/>
              <wp:wrapNone/>
              <wp:docPr id="38"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44pt,33pt" to="294.95pt,33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29">
              <wp:simplePos x="0" y="0"/>
              <wp:positionH relativeFrom="page">
                <wp:posOffset>876300</wp:posOffset>
              </wp:positionH>
              <wp:positionV relativeFrom="page">
                <wp:posOffset>355600</wp:posOffset>
              </wp:positionV>
              <wp:extent cx="0" cy="8896350"/>
              <wp:effectExtent l="1905" t="0" r="1905" b="0"/>
              <wp:wrapNone/>
              <wp:docPr id="39"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pt,28pt" to="69pt,728.4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40">
              <wp:simplePos x="0" y="0"/>
              <wp:positionH relativeFrom="page">
                <wp:posOffset>7353300</wp:posOffset>
              </wp:positionH>
              <wp:positionV relativeFrom="page">
                <wp:posOffset>355600</wp:posOffset>
              </wp:positionV>
              <wp:extent cx="0" cy="8896350"/>
              <wp:effectExtent l="1905" t="0" r="1905" b="0"/>
              <wp:wrapNone/>
              <wp:docPr id="40"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9pt,28pt" to="579pt,728.45pt" stroked="t" o:allowincell="f" style="position:absolute;mso-position-horizontal-relative:page;mso-position-vertical-relative:page">
              <v:stroke color="black" weight="3240" joinstyle="miter" endcap="flat"/>
              <v:fill o:detectmouseclick="t" on="false"/>
              <w10:wrap type="none"/>
            </v:line>
          </w:pict>
        </mc:Fallback>
      </mc:AlternateContent>
      <w:drawing>
        <wp:anchor behindDoc="1" distT="0" distB="0" distL="114935" distR="114935" simplePos="0" locked="0" layoutInCell="0" allowOverlap="1" relativeHeight="151">
          <wp:simplePos x="0" y="0"/>
          <wp:positionH relativeFrom="page">
            <wp:posOffset>1117600</wp:posOffset>
          </wp:positionH>
          <wp:positionV relativeFrom="page">
            <wp:posOffset>9287510</wp:posOffset>
          </wp:positionV>
          <wp:extent cx="1781175" cy="516890"/>
          <wp:effectExtent l="0" t="0" r="0" b="0"/>
          <wp:wrapNone/>
          <wp:docPr id="41" name="CS-First%20Boston%20Logo%20RGB%20B&amp;W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S-First%20Boston%20Logo%20RGB%20B&amp;W Copy 1 Copy 1 Copy 1" descr="" title=""/>
                  <pic:cNvPicPr>
                    <a:picLocks noChangeAspect="1" noChangeArrowheads="1"/>
                  </pic:cNvPicPr>
                </pic:nvPicPr>
                <pic:blipFill>
                  <a:blip r:embed="rId1"/>
                  <a:srcRect l="-20" t="-70" r="-20" b="-70"/>
                  <a:stretch>
                    <a:fillRect/>
                  </a:stretch>
                </pic:blipFill>
                <pic:spPr bwMode="auto">
                  <a:xfrm>
                    <a:off x="0" y="0"/>
                    <a:ext cx="1781175" cy="516890"/>
                  </a:xfrm>
                  <a:prstGeom prst="rect">
                    <a:avLst/>
                  </a:prstGeom>
                  <a:noFill/>
                </pic:spPr>
              </pic:pic>
            </a:graphicData>
          </a:graphic>
        </wp:anchor>
      </w:drawing>
    </w:r>
    <w:r>
      <mc:AlternateContent>
        <mc:Choice Requires="wps">
          <w:drawing>
            <wp:anchor behindDoc="0" distT="0" distB="0" distL="0" distR="0" simplePos="0" locked="0" layoutInCell="0" allowOverlap="1" relativeHeight="107">
              <wp:simplePos x="0" y="0"/>
              <wp:positionH relativeFrom="page">
                <wp:posOffset>6934835</wp:posOffset>
              </wp:positionH>
              <wp:positionV relativeFrom="page">
                <wp:posOffset>356235</wp:posOffset>
              </wp:positionV>
              <wp:extent cx="304800" cy="131445"/>
              <wp:effectExtent l="0" t="0" r="0" b="0"/>
              <wp:wrapTopAndBottom/>
              <wp:docPr id="42" name="Frame10"/>
              <a:graphic xmlns:a="http://schemas.openxmlformats.org/drawingml/2006/main">
                <a:graphicData uri="http://schemas.microsoft.com/office/word/2010/wordprocessingShape">
                  <wps:wsp>
                    <wps:cNvSpPr txBox="1"/>
                    <wps:spPr>
                      <a:xfrm>
                        <a:off x="0" y="0"/>
                        <a:ext cx="304800" cy="131445"/>
                      </a:xfrm>
                      <a:prstGeom prst="rect"/>
                      <a:solidFill>
                        <a:srgbClr val="FFFFFF">
                          <a:alpha val="0"/>
                        </a:srgbClr>
                      </a:solidFill>
                    </wps:spPr>
                    <wps:txbx>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22</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24pt;height:10.35pt;mso-wrap-distance-left:0pt;mso-wrap-distance-right:0pt;mso-wrap-distance-top:0pt;mso-wrap-distance-bottom:0pt;margin-top:28.05pt;mso-position-vertical-relative:page;margin-left:546.05pt;mso-position-horizontal-relative:page">
              <v:fill opacity="0f"/>
              <v:textbox inset="0in,0in,0in,0in">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22</w:t>
                    </w:r>
                    <w:r>
                      <w:rPr>
                        <w:rStyle w:val="PageNumber"/>
                      </w:rPr>
                      <w:fldChar w:fldCharType="end"/>
                    </w:r>
                  </w:p>
                </w:txbxContent>
              </v:textbox>
              <w10:wrap type="topAndBottom"/>
            </v:rect>
          </w:pict>
        </mc:Fallback>
      </mc:AlternateContent>
    </w:r>
    <w:r>
      <mc:AlternateContent>
        <mc:Choice Requires="wps">
          <w:drawing>
            <wp:anchor behindDoc="1" distT="0" distB="0" distL="114935" distR="114935" simplePos="0" locked="0" layoutInCell="0" allowOverlap="1" relativeHeight="162">
              <wp:simplePos x="0" y="0"/>
              <wp:positionH relativeFrom="page">
                <wp:posOffset>1828800</wp:posOffset>
              </wp:positionH>
              <wp:positionV relativeFrom="page">
                <wp:posOffset>476250</wp:posOffset>
              </wp:positionV>
              <wp:extent cx="4572000" cy="406400"/>
              <wp:effectExtent l="0" t="0" r="0" b="0"/>
              <wp:wrapNone/>
              <wp:docPr id="43" name="Frame11"/>
              <a:graphic xmlns:a="http://schemas.openxmlformats.org/drawingml/2006/main">
                <a:graphicData uri="http://schemas.microsoft.com/office/word/2010/wordprocessingShape">
                  <wps:wsp>
                    <wps:cNvSpPr txBox="1"/>
                    <wps:spPr>
                      <a:xfrm>
                        <a:off x="0" y="0"/>
                        <a:ext cx="4572000" cy="406400"/>
                      </a:xfrm>
                      <a:prstGeom prst="rect"/>
                      <a:solidFill>
                        <a:srgbClr val="FFFFFF">
                          <a:alpha val="0"/>
                        </a:srgbClr>
                      </a:solidFill>
                    </wps:spPr>
                    <wps:txbx>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wps:txbx>
                    <wps:bodyPr anchor="t" lIns="635" tIns="635" rIns="635" bIns="635">
                      <a:noAutofit/>
                    </wps:bodyPr>
                  </wps:wsp>
                </a:graphicData>
              </a:graphic>
            </wp:anchor>
          </w:drawing>
        </mc:Choice>
        <mc:Fallback>
          <w:pict>
            <v:rect fillcolor="#FFFFFF" style="position:absolute;rotation:-0;width:360pt;height:32pt;mso-wrap-distance-left:9.05pt;mso-wrap-distance-right:9.05pt;mso-wrap-distance-top:0pt;mso-wrap-distance-bottom:0pt;margin-top:37.5pt;mso-position-vertical-relative:page;margin-left:144pt;mso-position-horizontal-relative:page">
              <v:fill opacity="0f"/>
              <v:textbox inset="0.000694444444444445in,0.000694444444444445in,0.000694444444444445in,0.000694444444444445in">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v:textbox>
              <w10:wrap type="none"/>
            </v:rect>
          </w:pict>
        </mc:Fallback>
      </mc:AlternateContent>
    </w:r>
    <w:r>
      <mc:AlternateContent>
        <mc:Choice Requires="wps">
          <w:drawing>
            <wp:anchor behindDoc="1" distT="0" distB="0" distL="114935" distR="114935" simplePos="0" locked="0" layoutInCell="0" allowOverlap="1" relativeHeight="173">
              <wp:simplePos x="0" y="0"/>
              <wp:positionH relativeFrom="page">
                <wp:posOffset>5740400</wp:posOffset>
              </wp:positionH>
              <wp:positionV relativeFrom="page">
                <wp:posOffset>355600</wp:posOffset>
              </wp:positionV>
              <wp:extent cx="952500" cy="127000"/>
              <wp:effectExtent l="0" t="0" r="0" b="0"/>
              <wp:wrapNone/>
              <wp:docPr id="44" name="Frame12"/>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pt;mso-position-vertical-relative:page;margin-left:452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360"/>
        </w:tabs>
        <w:ind w:start="360" w:hanging="360"/>
      </w:pPr>
      <w:rPr>
        <w:rFonts w:ascii="Symbol" w:hAnsi="Symbol" w:cs="Symbol" w:hint="default"/>
        <w:sz w:val="14"/>
      </w:rPr>
    </w:lvl>
  </w:abstractNum>
  <w:abstractNum w:abstractNumId="3">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auto"/>
      </w:rPr>
    </w:lvl>
  </w:abstractNum>
  <w:abstractNum w:abstractNumId="4">
    <w:lvl w:ilvl="0">
      <w:start w:val="1"/>
      <w:numFmt w:val="bullet"/>
      <w:lvlText w:val=""/>
      <w:lvlJc w:val="start"/>
      <w:pPr>
        <w:tabs>
          <w:tab w:val="num" w:pos="2880"/>
        </w:tabs>
        <w:ind w:start="2880" w:hanging="360"/>
      </w:pPr>
      <w:rPr>
        <w:rFonts w:ascii="Wingdings" w:hAnsi="Wingdings" w:cs="Wingdings" w:hint="default"/>
        <w:position w:val="6"/>
        <w:sz w:val="12"/>
        <w:i w:val="false"/>
        <w:u w:val="none"/>
        <w:b w:val="false"/>
        <w:color w:val="auto"/>
      </w:rPr>
    </w:lvl>
  </w:abstractNum>
  <w:abstractNum w:abstractNumId="5">
    <w:lvl w:ilvl="0">
      <w:start w:val="1"/>
      <w:numFmt w:val="bullet"/>
      <w:lvlText w:val=""/>
      <w:lvlJc w:val="start"/>
      <w:pPr>
        <w:tabs>
          <w:tab w:val="num" w:pos="360"/>
        </w:tabs>
        <w:ind w:start="360" w:hanging="360"/>
      </w:pPr>
      <w:rPr>
        <w:rFonts w:ascii="Wingdings" w:hAnsi="Wingdings" w:cs="Wingdings" w:hint="default"/>
      </w:rPr>
    </w:lvl>
  </w:abstractNum>
  <w:abstractNum w:abstractNumId="6">
    <w:lvl w:ilvl="0">
      <w:start w:val="1"/>
      <w:numFmt w:val="bullet"/>
      <w:lvlText w:val=""/>
      <w:lvlJc w:val="start"/>
      <w:pPr>
        <w:tabs>
          <w:tab w:val="num" w:pos="2160"/>
        </w:tabs>
        <w:ind w:start="2160" w:hanging="360"/>
      </w:pPr>
      <w:rPr>
        <w:rFonts w:ascii="Symbol" w:hAnsi="Symbol" w:cs="Symbol" w:hint="default"/>
      </w:rPr>
    </w:lvl>
  </w:abstractNum>
  <w:abstractNum w:abstractNumId="7">
    <w:lvl w:ilvl="0">
      <w:start w:val="1"/>
      <w:numFmt w:val="bullet"/>
      <w:lvlText w:val=""/>
      <w:lvlJc w:val="start"/>
      <w:pPr>
        <w:tabs>
          <w:tab w:val="num" w:pos="4320"/>
        </w:tabs>
        <w:ind w:start="4320" w:hanging="360"/>
      </w:pPr>
      <w:rPr>
        <w:rFonts w:ascii="Symbol" w:hAnsi="Symbol" w:cs="Symbol" w:hint="default"/>
        <w:position w:val="2"/>
        <w:u w:val="none"/>
        <w:color w:val="auto"/>
      </w:rPr>
    </w:lvl>
  </w:abstractNum>
  <w:abstractNum w:abstractNumId="8">
    <w:lvl w:ilvl="0">
      <w:start w:val="1"/>
      <w:numFmt w:val="lowerRoman"/>
      <w:lvlText w:val="(%1)"/>
      <w:lvlJc w:val="start"/>
      <w:pPr>
        <w:tabs>
          <w:tab w:val="num" w:pos="2880"/>
        </w:tabs>
        <w:ind w:start="2880" w:hanging="720"/>
      </w:pPr>
    </w:lvl>
  </w:abstractNum>
  <w:abstractNum w:abstractNumId="9">
    <w:lvl w:ilvl="0">
      <w:start w:val="1"/>
      <w:numFmt w:val="bullet"/>
      <w:lvlText w:val=""/>
      <w:lvlJc w:val="start"/>
      <w:pPr>
        <w:tabs>
          <w:tab w:val="num" w:pos="2880"/>
        </w:tabs>
        <w:ind w:start="360" w:firstLine="2160"/>
      </w:pPr>
      <w:rPr>
        <w:rFonts w:ascii="Wingdings" w:hAnsi="Wingdings" w:cs="Wingdings" w:hint="default"/>
        <w:sz w:val="10"/>
      </w:rPr>
    </w:lvl>
  </w:abstractNum>
  <w:abstractNum w:abstractNumId="10">
    <w:lvl w:ilvl="0">
      <w:start w:val="1"/>
      <w:numFmt w:val="bullet"/>
      <w:lvlText w:val=""/>
      <w:lvlJc w:val="start"/>
      <w:pPr>
        <w:tabs>
          <w:tab w:val="num" w:pos="2880"/>
        </w:tabs>
        <w:ind w:start="2880" w:hanging="360"/>
      </w:pPr>
      <w:rPr>
        <w:rFonts w:ascii="Wingdings" w:hAnsi="Wingdings" w:cs="Wingdings" w:hint="default"/>
        <w:position w:val="6"/>
        <w:sz w:val="12"/>
        <w:i w:val="false"/>
        <w:u w:val="none"/>
        <w:b w:val="false"/>
      </w:rPr>
    </w:lvl>
  </w:abstractNum>
  <w:abstractNum w:abstractNumId="11">
    <w:lvl w:ilvl="0">
      <w:start w:val="1"/>
      <w:numFmt w:val="bullet"/>
      <w:lvlText w:val=""/>
      <w:lvlJc w:val="start"/>
      <w:pPr>
        <w:tabs>
          <w:tab w:val="num" w:pos="360"/>
        </w:tabs>
        <w:ind w:start="360" w:hanging="360"/>
      </w:pPr>
      <w:rPr>
        <w:rFonts w:ascii="Symbol" w:hAnsi="Symbol" w:cs="Symbol" w:hint="default"/>
      </w:rPr>
    </w:lvl>
  </w:abstractNum>
  <w:abstractNum w:abstractNumId="12">
    <w:lvl w:ilvl="0">
      <w:start w:val="1"/>
      <w:numFmt w:val="none"/>
      <w:suff w:val="nothing"/>
      <w:lvlText w:val="Source:"/>
      <w:lvlJc w:val="start"/>
      <w:pPr>
        <w:tabs>
          <w:tab w:val="num" w:pos="720"/>
        </w:tabs>
        <w:ind w:start="720" w:hanging="720"/>
      </w:pPr>
      <w:rPr>
        <w:sz w:val="16"/>
        <w:i/>
        <w:u w:val="none"/>
        <w:b w:val="false"/>
        <w:rFonts w:ascii="Arial" w:hAnsi="Arial" w:cs="Arial"/>
        <w:color w:val="auto"/>
      </w:rPr>
    </w:lvl>
  </w:abstractNum>
  <w:abstractNum w:abstractNumId="13">
    <w:lvl w:ilvl="0">
      <w:start w:val="1"/>
      <w:numFmt w:val="bullet"/>
      <w:lvlText w:val=""/>
      <w:lvlJc w:val="start"/>
      <w:pPr>
        <w:tabs>
          <w:tab w:val="num" w:pos="1440"/>
        </w:tabs>
        <w:ind w:start="1440" w:hanging="360"/>
      </w:pPr>
      <w:rPr>
        <w:rFonts w:ascii="Symbol" w:hAnsi="Symbol" w:cs="Symbol" w:hint="default"/>
        <w:position w:val="2"/>
      </w:rPr>
    </w:lvl>
  </w:abstractNum>
  <w:abstractNum w:abstractNumId="14">
    <w:lvl w:ilvl="0">
      <w:start w:val="1"/>
      <w:numFmt w:val="none"/>
      <w:suff w:val="nothing"/>
      <w:lvlText w:val="Note:"/>
      <w:lvlJc w:val="start"/>
      <w:pPr>
        <w:tabs>
          <w:tab w:val="num" w:pos="720"/>
        </w:tabs>
        <w:ind w:start="720" w:hanging="720"/>
      </w:pPr>
      <w:rPr>
        <w:sz w:val="16"/>
        <w:i/>
        <w:u w:val="none"/>
        <w:b w:val="false"/>
        <w:rFonts w:ascii="Arial" w:hAnsi="Arial" w:cs="Arial"/>
        <w:color w:val="auto"/>
      </w:rPr>
    </w:lvl>
  </w:abstractNum>
  <w:abstractNum w:abstractNumId="15">
    <w:lvl w:ilvl="0">
      <w:start w:val="1"/>
      <w:numFmt w:val="decimal"/>
      <w:lvlText w:val="(%1)"/>
      <w:lvlJc w:val="start"/>
      <w:pPr>
        <w:tabs>
          <w:tab w:val="num" w:pos="360"/>
        </w:tabs>
        <w:ind w:start="360" w:hanging="360"/>
      </w:pPr>
      <w:rPr>
        <w:sz w:val="16"/>
        <w:i w:val="false"/>
        <w:u w:val="none"/>
        <w:b w:val="false"/>
        <w:rFonts w:ascii="Arial" w:hAnsi="Arial" w:cs="Arial"/>
        <w:color w:val="auto"/>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75"/>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bidi="ar-SA" w:eastAsia="zh-CN"/>
    </w:rPr>
  </w:style>
  <w:style w:type="paragraph" w:styleId="Heading2">
    <w:name w:val="heading 2"/>
    <w:basedOn w:val="Normal"/>
    <w:next w:val="Normal"/>
    <w:qFormat/>
    <w:pPr>
      <w:keepNext w:val="true"/>
      <w:numPr>
        <w:ilvl w:val="1"/>
        <w:numId w:val="1"/>
      </w:numPr>
      <w:spacing w:before="60" w:after="0"/>
      <w:jc w:val="center"/>
      <w:outlineLvl w:val="1"/>
    </w:pPr>
    <w:rPr>
      <w:rFonts w:ascii="Arial" w:hAnsi="Arial" w:cs="Arial"/>
      <w:b/>
    </w:rPr>
  </w:style>
  <w:style w:type="paragraph" w:styleId="Heading6">
    <w:name w:val="heading 6"/>
    <w:basedOn w:val="Normal"/>
    <w:next w:val="Normal"/>
    <w:qFormat/>
    <w:pPr>
      <w:keepNext w:val="true"/>
      <w:numPr>
        <w:ilvl w:val="5"/>
        <w:numId w:val="1"/>
      </w:numPr>
      <w:spacing w:before="120" w:after="120"/>
      <w:jc w:val="center"/>
      <w:outlineLvl w:val="5"/>
    </w:pPr>
    <w:rPr>
      <w:rFonts w:ascii="Arial Bold" w:hAnsi="Arial Bold" w:cs="Arial Bold"/>
      <w:b/>
      <w:color w:val="FFFFFF"/>
      <w:sz w:val="24"/>
    </w:rPr>
  </w:style>
  <w:style w:type="paragraph" w:styleId="Heading7">
    <w:name w:val="heading 7"/>
    <w:basedOn w:val="Normal"/>
    <w:next w:val="Normal"/>
    <w:qFormat/>
    <w:pPr>
      <w:keepNext w:val="true"/>
      <w:numPr>
        <w:ilvl w:val="6"/>
        <w:numId w:val="1"/>
      </w:numPr>
      <w:spacing w:before="300" w:after="0"/>
      <w:outlineLvl w:val="6"/>
    </w:pPr>
    <w:rPr>
      <w:rFonts w:ascii="Arial" w:hAnsi="Arial" w:cs="Arial"/>
      <w:b/>
    </w:rPr>
  </w:style>
  <w:style w:type="paragraph" w:styleId="Heading9">
    <w:name w:val="heading 9"/>
    <w:basedOn w:val="Normal"/>
    <w:next w:val="Normal"/>
    <w:qFormat/>
    <w:pPr>
      <w:keepNext w:val="true"/>
      <w:numPr>
        <w:ilvl w:val="8"/>
        <w:numId w:val="1"/>
      </w:numPr>
      <w:spacing w:before="120" w:after="120"/>
      <w:ind w:hanging="0" w:start="720" w:end="0"/>
      <w:outlineLvl w:val="8"/>
    </w:pPr>
    <w:rPr>
      <w:rFonts w:ascii="Arial" w:hAnsi="Arial" w:cs="Arial"/>
      <w:vanish/>
      <w:color w:val="FF0000"/>
      <w:sz w:val="18"/>
    </w:rPr>
  </w:style>
  <w:style w:type="character" w:styleId="WW8Num5z0">
    <w:name w:val="WW8Num5z0"/>
    <w:qFormat/>
    <w:rPr>
      <w:rFonts w:ascii="Wingdings" w:hAnsi="Wingdings" w:cs="Wingdings"/>
    </w:rPr>
  </w:style>
  <w:style w:type="character" w:styleId="WW8Num6z0">
    <w:name w:val="WW8Num6z0"/>
    <w:qFormat/>
    <w:rPr>
      <w:rFonts w:ascii="Wingdings" w:hAnsi="Wingdings" w:cs="Wingdings"/>
    </w:rPr>
  </w:style>
  <w:style w:type="character" w:styleId="WW8Num7z0">
    <w:name w:val="WW8Num7z0"/>
    <w:qFormat/>
    <w:rPr>
      <w:rFonts w:ascii="Wingdings" w:hAnsi="Wingdings" w:cs="Wingdings"/>
    </w:rPr>
  </w:style>
  <w:style w:type="character" w:styleId="WW8Num8z0">
    <w:name w:val="WW8Num8z0"/>
    <w:qFormat/>
    <w:rPr>
      <w:rFonts w:ascii="Wingdings" w:hAnsi="Wingdings" w:cs="Wingdings"/>
    </w:rPr>
  </w:style>
  <w:style w:type="character" w:styleId="WW8Num10z0">
    <w:name w:val="WW8Num10z0"/>
    <w:qFormat/>
    <w:rPr>
      <w:rFonts w:ascii="Wingdings" w:hAnsi="Wingdings" w:cs="Wingdings"/>
    </w:rPr>
  </w:style>
  <w:style w:type="character" w:styleId="WW8Num12z0">
    <w:name w:val="WW8Num12z0"/>
    <w:qFormat/>
    <w:rPr>
      <w:rFonts w:ascii="Wingdings" w:hAnsi="Wingdings" w:cs="Wingdings"/>
      <w:b w:val="false"/>
      <w:i w:val="false"/>
      <w:sz w:val="14"/>
      <w:u w:val="none"/>
    </w:rPr>
  </w:style>
  <w:style w:type="character" w:styleId="WW8Num13z0">
    <w:name w:val="WW8Num13z0"/>
    <w:qFormat/>
    <w:rPr>
      <w:rFonts w:ascii="Wingdings" w:hAnsi="Wingdings" w:cs="Wingdings"/>
      <w:b/>
      <w:i/>
      <w:sz w:val="24"/>
    </w:rPr>
  </w:style>
  <w:style w:type="character" w:styleId="WW8Num15z0">
    <w:name w:val="WW8Num15z0"/>
    <w:qFormat/>
    <w:rPr/>
  </w:style>
  <w:style w:type="character" w:styleId="WW8Num16z0">
    <w:name w:val="WW8Num16z0"/>
    <w:qFormat/>
    <w:rPr/>
  </w:style>
  <w:style w:type="character" w:styleId="WW8Num23z0">
    <w:name w:val="WW8Num23z0"/>
    <w:qFormat/>
    <w:rPr>
      <w:rFonts w:ascii="Wingdings" w:hAnsi="Wingdings" w:cs="Wingdings"/>
      <w:b/>
      <w:i/>
      <w:sz w:val="24"/>
    </w:rPr>
  </w:style>
  <w:style w:type="character" w:styleId="WW8Num24z0">
    <w:name w:val="WW8Num24z0"/>
    <w:qFormat/>
    <w:rPr>
      <w:rFonts w:ascii="Symbol" w:hAnsi="Symbol" w:cs="Symbol"/>
      <w:sz w:val="14"/>
    </w:rPr>
  </w:style>
  <w:style w:type="character" w:styleId="WW8Num25z0">
    <w:name w:val="WW8Num25z0"/>
    <w:qFormat/>
    <w:rPr>
      <w:rFonts w:ascii="Wingdings" w:hAnsi="Wingdings" w:cs="Wingdings"/>
      <w:color w:val="auto"/>
      <w:sz w:val="20"/>
    </w:rPr>
  </w:style>
  <w:style w:type="character" w:styleId="WW8Num26z0">
    <w:name w:val="WW8Num26z0"/>
    <w:qFormat/>
    <w:rPr>
      <w:rFonts w:ascii="Wingdings" w:hAnsi="Wingdings" w:cs="Wingdings"/>
      <w:b w:val="false"/>
      <w:i w:val="false"/>
      <w:color w:val="auto"/>
      <w:sz w:val="12"/>
      <w:u w:val="none"/>
      <w:vertAlign w:val="superscript"/>
    </w:rPr>
  </w:style>
  <w:style w:type="character" w:styleId="WW8Num27z0">
    <w:name w:val="WW8Num27z0"/>
    <w:qFormat/>
    <w:rPr>
      <w:rFonts w:ascii="Symbol" w:hAnsi="Symbol" w:cs="Symbol"/>
      <w:u w:val="none"/>
      <w:vertAlign w:val="superscript"/>
    </w:rPr>
  </w:style>
  <w:style w:type="character" w:styleId="WW8Num29z0">
    <w:name w:val="WW8Num29z0"/>
    <w:qFormat/>
    <w:rPr>
      <w:rFonts w:ascii="Symbol" w:hAnsi="Symbol" w:cs="Symbol"/>
      <w:b w:val="false"/>
      <w:i w:val="false"/>
      <w:color w:val="auto"/>
      <w:sz w:val="28"/>
      <w:u w:val="none"/>
      <w:vertAlign w:val="superscript"/>
    </w:rPr>
  </w:style>
  <w:style w:type="character" w:styleId="WW8Num30z0">
    <w:name w:val="WW8Num30z0"/>
    <w:qFormat/>
    <w:rPr>
      <w:caps w:val="false"/>
      <w:smallCaps w:val="false"/>
      <w:strike w:val="false"/>
      <w:dstrike w:val="false"/>
      <w:outline w:val="false"/>
      <w:shadow w:val="false"/>
      <w:vanish w:val="false"/>
      <w:color w:val="auto"/>
      <w:kern w:val="0"/>
      <w:position w:val="0"/>
      <w:sz w:val="24"/>
      <w:vertAlign w:val="baseline"/>
    </w:rPr>
  </w:style>
  <w:style w:type="character" w:styleId="WW8Num32z0">
    <w:name w:val="WW8Num32z0"/>
    <w:qFormat/>
    <w:rPr>
      <w:rFonts w:ascii="Symbol" w:hAnsi="Symbol" w:cs="Symbol"/>
      <w:color w:val="auto"/>
      <w:u w:val="none"/>
      <w:vertAlign w:val="superscript"/>
    </w:rPr>
  </w:style>
  <w:style w:type="character" w:styleId="WW8Num33z0">
    <w:name w:val="WW8Num33z0"/>
    <w:qFormat/>
    <w:rPr>
      <w:rFonts w:ascii="Wingdings" w:hAnsi="Wingdings" w:cs="Wingdings"/>
      <w:b/>
      <w:i w:val="false"/>
      <w:color w:val="auto"/>
      <w:sz w:val="28"/>
      <w:u w:val="none"/>
    </w:rPr>
  </w:style>
  <w:style w:type="character" w:styleId="WW8Num34z0">
    <w:name w:val="WW8Num34z0"/>
    <w:qFormat/>
    <w:rPr>
      <w:caps w:val="false"/>
      <w:smallCaps w:val="false"/>
      <w:strike w:val="false"/>
      <w:dstrike w:val="false"/>
      <w:outline w:val="false"/>
      <w:shadow w:val="false"/>
      <w:vanish w:val="false"/>
      <w:color w:val="auto"/>
      <w:kern w:val="0"/>
      <w:position w:val="0"/>
      <w:sz w:val="24"/>
      <w:vertAlign w:val="baseline"/>
    </w:rPr>
  </w:style>
  <w:style w:type="character" w:styleId="WW8Num35z0">
    <w:name w:val="WW8Num35z0"/>
    <w:qFormat/>
    <w:rPr>
      <w:rFonts w:ascii="Wingdings" w:hAnsi="Wingdings" w:cs="Wingdings"/>
      <w:b w:val="false"/>
      <w:i w:val="false"/>
      <w:color w:val="auto"/>
      <w:sz w:val="10"/>
      <w:u w:val="none"/>
      <w:vertAlign w:val="superscript"/>
    </w:rPr>
  </w:style>
  <w:style w:type="character" w:styleId="WW8Num36z0">
    <w:name w:val="WW8Num36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vertAlign w:val="baseline"/>
    </w:rPr>
  </w:style>
  <w:style w:type="character" w:styleId="WW8Num37z0">
    <w:name w:val="WW8Num37z0"/>
    <w:qFormat/>
    <w:rPr>
      <w:rFonts w:ascii="Wingdings" w:hAnsi="Wingdings" w:cs="Wingdings"/>
      <w:b w:val="false"/>
      <w:i/>
      <w:color w:val="auto"/>
      <w:sz w:val="16"/>
      <w:u w:val="none"/>
    </w:rPr>
  </w:style>
  <w:style w:type="character" w:styleId="WW8Num39z0">
    <w:name w:val="WW8Num39z0"/>
    <w:qFormat/>
    <w:rPr>
      <w:rFonts w:ascii="Wingdings" w:hAnsi="Wingdings" w:cs="Wingdings"/>
    </w:rPr>
  </w:style>
  <w:style w:type="character" w:styleId="WW8Num42z0">
    <w:name w:val="WW8Num42z0"/>
    <w:qFormat/>
    <w:rPr>
      <w:rFonts w:ascii="Wingdings" w:hAnsi="Wingdings" w:cs="Wingdings"/>
      <w:b w:val="false"/>
      <w:i w:val="false"/>
      <w:color w:val="auto"/>
      <w:sz w:val="10"/>
      <w:u w:val="none"/>
      <w:vertAlign w:val="superscript"/>
    </w:rPr>
  </w:style>
  <w:style w:type="character" w:styleId="WW8Num43z0">
    <w:name w:val="WW8Num43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44z0">
    <w:name w:val="WW8Num44z0"/>
    <w:qFormat/>
    <w:rPr>
      <w:rFonts w:ascii="Wingdings" w:hAnsi="Wingdings" w:cs="Wingdings"/>
      <w:b w:val="false"/>
      <w:i w:val="false"/>
      <w:color w:val="auto"/>
      <w:sz w:val="24"/>
      <w:u w:val="none"/>
    </w:rPr>
  </w:style>
  <w:style w:type="character" w:styleId="WW8Num47z0">
    <w:name w:val="WW8Num47z0"/>
    <w:qFormat/>
    <w:rPr>
      <w:rFonts w:ascii="Symbol" w:hAnsi="Symbol" w:cs="Symbol"/>
      <w:sz w:val="18"/>
    </w:rPr>
  </w:style>
  <w:style w:type="character" w:styleId="WW8Num48z0">
    <w:name w:val="WW8Num48z0"/>
    <w:qFormat/>
    <w:rPr/>
  </w:style>
  <w:style w:type="character" w:styleId="WW8Num51z0">
    <w:name w:val="WW8Num51z0"/>
    <w:qFormat/>
    <w:rPr/>
  </w:style>
  <w:style w:type="character" w:styleId="WW8Num52z0">
    <w:name w:val="WW8Num52z0"/>
    <w:qFormat/>
    <w:rPr>
      <w:rFonts w:ascii="Wingdings" w:hAnsi="Wingdings" w:cs="Wingdings"/>
      <w:b w:val="false"/>
      <w:i w:val="false"/>
      <w:color w:val="auto"/>
      <w:sz w:val="20"/>
      <w:u w:val="none"/>
    </w:rPr>
  </w:style>
  <w:style w:type="character" w:styleId="WW8Num54z0">
    <w:name w:val="WW8Num54z0"/>
    <w:qFormat/>
    <w:rPr/>
  </w:style>
  <w:style w:type="character" w:styleId="WW8Num57z0">
    <w:name w:val="WW8Num57z0"/>
    <w:qFormat/>
    <w:rPr/>
  </w:style>
  <w:style w:type="character" w:styleId="WW8Num60z0">
    <w:name w:val="WW8Num60z0"/>
    <w:qFormat/>
    <w:rPr>
      <w:rFonts w:ascii="Wingdings" w:hAnsi="Wingdings" w:cs="Wingdings"/>
      <w:b w:val="false"/>
      <w:i w:val="false"/>
      <w:color w:val="auto"/>
      <w:sz w:val="24"/>
    </w:rPr>
  </w:style>
  <w:style w:type="character" w:styleId="WW8Num61z0">
    <w:name w:val="WW8Num61z0"/>
    <w:qFormat/>
    <w:rPr>
      <w:rFonts w:ascii="Wingdings" w:hAnsi="Wingdings" w:cs="Wingdings"/>
      <w:sz w:val="28"/>
    </w:rPr>
  </w:style>
  <w:style w:type="character" w:styleId="WW8Num62z0">
    <w:name w:val="WW8Num62z0"/>
    <w:qFormat/>
    <w:rPr>
      <w:rFonts w:ascii="Wingdings" w:hAnsi="Wingdings" w:cs="Wingdings"/>
      <w:color w:val="auto"/>
      <w:sz w:val="20"/>
    </w:rPr>
  </w:style>
  <w:style w:type="character" w:styleId="WW8Num63z0">
    <w:name w:val="WW8Num63z0"/>
    <w:qFormat/>
    <w:rPr>
      <w:rFonts w:ascii="Symbol" w:hAnsi="Symbol" w:cs="Symbol"/>
    </w:rPr>
  </w:style>
  <w:style w:type="character" w:styleId="WW8Num64z0">
    <w:name w:val="WW8Num64z0"/>
    <w:qFormat/>
    <w:rPr>
      <w:rFonts w:ascii="Wingdings" w:hAnsi="Wingdings" w:cs="Wingdings"/>
      <w:b w:val="false"/>
      <w:i w:val="false"/>
      <w:color w:val="auto"/>
      <w:sz w:val="28"/>
      <w:u w:val="none"/>
      <w:vertAlign w:val="superscript"/>
    </w:rPr>
  </w:style>
  <w:style w:type="character" w:styleId="WW8Num65z0">
    <w:name w:val="WW8Num65z0"/>
    <w:qFormat/>
    <w:rPr>
      <w:rFonts w:ascii="Wingdings" w:hAnsi="Wingdings" w:cs="Wingdings"/>
      <w:b w:val="false"/>
      <w:i w:val="false"/>
      <w:color w:val="auto"/>
      <w:sz w:val="28"/>
      <w:u w:val="none"/>
    </w:rPr>
  </w:style>
  <w:style w:type="character" w:styleId="WW8Num66z0">
    <w:name w:val="WW8Num66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67z0">
    <w:name w:val="WW8Num67z0"/>
    <w:qFormat/>
    <w:rPr>
      <w:rFonts w:ascii="Wingdings" w:hAnsi="Wingdings" w:cs="Wingdings"/>
      <w:b w:val="false"/>
      <w:i w:val="false"/>
      <w:color w:val="auto"/>
      <w:sz w:val="20"/>
      <w:u w:val="none"/>
    </w:rPr>
  </w:style>
  <w:style w:type="character" w:styleId="WW8Num68z0">
    <w:name w:val="WW8Num68z0"/>
    <w:qFormat/>
    <w:rPr>
      <w:rFonts w:ascii="Wingdings" w:hAnsi="Wingdings" w:cs="Wingdings"/>
      <w:b w:val="false"/>
      <w:i/>
      <w:color w:val="auto"/>
      <w:sz w:val="16"/>
      <w:u w:val="none"/>
    </w:rPr>
  </w:style>
  <w:style w:type="character" w:styleId="WW8Num69z0">
    <w:name w:val="WW8Num69z0"/>
    <w:qFormat/>
    <w:rPr>
      <w:rFonts w:ascii="Wingdings" w:hAnsi="Wingdings" w:cs="Wingdings"/>
      <w:sz w:val="16"/>
    </w:rPr>
  </w:style>
  <w:style w:type="character" w:styleId="WW8Num70z0">
    <w:name w:val="WW8Num70z0"/>
    <w:qFormat/>
    <w:rPr/>
  </w:style>
  <w:style w:type="character" w:styleId="WW8Num74z0">
    <w:name w:val="WW8Num74z0"/>
    <w:qFormat/>
    <w:rPr>
      <w:rFonts w:ascii="Wingdings" w:hAnsi="Wingdings" w:cs="Wingdings"/>
      <w:b w:val="false"/>
      <w:i w:val="false"/>
      <w:color w:val="auto"/>
      <w:sz w:val="10"/>
      <w:u w:val="none"/>
      <w:vertAlign w:val="superscript"/>
    </w:rPr>
  </w:style>
  <w:style w:type="character" w:styleId="WW8Num75z0">
    <w:name w:val="WW8Num75z0"/>
    <w:qFormat/>
    <w:rPr>
      <w:rFonts w:ascii="Wingdings" w:hAnsi="Wingdings" w:cs="Wingdings"/>
      <w:b w:val="false"/>
      <w:i w:val="false"/>
      <w:color w:val="auto"/>
      <w:sz w:val="12"/>
      <w:u w:val="none"/>
      <w:vertAlign w:val="superscript"/>
    </w:rPr>
  </w:style>
  <w:style w:type="character" w:styleId="WW8Num78z0">
    <w:name w:val="WW8Num78z0"/>
    <w:qFormat/>
    <w:rPr/>
  </w:style>
  <w:style w:type="character" w:styleId="WW8Num79z0">
    <w:name w:val="WW8Num79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80z0">
    <w:name w:val="WW8Num80z0"/>
    <w:qFormat/>
    <w:rPr>
      <w:rFonts w:ascii="Wingdings" w:hAnsi="Wingdings" w:cs="Wingdings"/>
    </w:rPr>
  </w:style>
  <w:style w:type="character" w:styleId="WW8Num81z0">
    <w:name w:val="WW8Num81z0"/>
    <w:qFormat/>
    <w:rPr>
      <w:rFonts w:ascii="Wingdings" w:hAnsi="Wingdings" w:cs="Wingdings"/>
    </w:rPr>
  </w:style>
  <w:style w:type="character" w:styleId="WW8Num82z0">
    <w:name w:val="WW8Num82z0"/>
    <w:qFormat/>
    <w:rPr>
      <w:rFonts w:ascii="Wingdings" w:hAnsi="Wingdings" w:cs="Wingdings"/>
    </w:rPr>
  </w:style>
  <w:style w:type="character" w:styleId="WW8Num83z0">
    <w:name w:val="WW8Num83z0"/>
    <w:qFormat/>
    <w:rPr>
      <w:rFonts w:ascii="Wingdings" w:hAnsi="Wingdings" w:cs="Wingdings"/>
      <w:b w:val="false"/>
      <w:i/>
      <w:color w:val="auto"/>
      <w:sz w:val="16"/>
      <w:u w:val="none"/>
    </w:rPr>
  </w:style>
  <w:style w:type="character" w:styleId="WW8Num85z0">
    <w:name w:val="WW8Num85z0"/>
    <w:qFormat/>
    <w:rPr>
      <w:rFonts w:ascii="Wingdings" w:hAnsi="Wingdings" w:cs="Wingdings"/>
      <w:b w:val="false"/>
      <w:i w:val="false"/>
      <w:color w:val="auto"/>
      <w:sz w:val="12"/>
      <w:u w:val="none"/>
      <w:vertAlign w:val="superscript"/>
    </w:rPr>
  </w:style>
  <w:style w:type="character" w:styleId="WW8Num86z0">
    <w:name w:val="WW8Num86z0"/>
    <w:qFormat/>
    <w:rPr>
      <w:rFonts w:ascii="Wingdings" w:hAnsi="Wingdings" w:cs="Wingdings"/>
    </w:rPr>
  </w:style>
  <w:style w:type="character" w:styleId="WW8Num87z0">
    <w:name w:val="WW8Num87z0"/>
    <w:qFormat/>
    <w:rPr>
      <w:rFonts w:ascii="Wingdings" w:hAnsi="Wingdings" w:cs="Wingdings"/>
    </w:rPr>
  </w:style>
  <w:style w:type="character" w:styleId="WW8Num88z0">
    <w:name w:val="WW8Num88z0"/>
    <w:qFormat/>
    <w:rPr>
      <w:rFonts w:ascii="Wingdings" w:hAnsi="Wingdings" w:cs="Wingdings"/>
      <w:b w:val="false"/>
      <w:i/>
      <w:color w:val="auto"/>
      <w:sz w:val="16"/>
      <w:u w:val="none"/>
    </w:rPr>
  </w:style>
  <w:style w:type="character" w:styleId="WW8Num89z0">
    <w:name w:val="WW8Num89z0"/>
    <w:qFormat/>
    <w:rPr>
      <w:rFonts w:ascii="Symbol" w:hAnsi="Symbol" w:cs="Symbol"/>
    </w:rPr>
  </w:style>
  <w:style w:type="character" w:styleId="WW8Num90z0">
    <w:name w:val="WW8Num90z0"/>
    <w:qFormat/>
    <w:rPr>
      <w:rFonts w:ascii="Wingdings" w:hAnsi="Wingdings" w:cs="Wingdings"/>
      <w:sz w:val="20"/>
    </w:rPr>
  </w:style>
  <w:style w:type="character" w:styleId="WW8Num92z0">
    <w:name w:val="WW8Num92z0"/>
    <w:qFormat/>
    <w:rPr>
      <w:rFonts w:ascii="Symbol" w:hAnsi="Symbol" w:cs="Symbol"/>
      <w:color w:val="auto"/>
      <w:position w:val="0"/>
      <w:sz w:val="24"/>
      <w:u w:val="none"/>
      <w:vertAlign w:val="baseline"/>
    </w:rPr>
  </w:style>
  <w:style w:type="character" w:styleId="WW8Num93z0">
    <w:name w:val="WW8Num93z0"/>
    <w:qFormat/>
    <w:rPr/>
  </w:style>
  <w:style w:type="character" w:styleId="WW8Num96z0">
    <w:name w:val="WW8Num96z0"/>
    <w:qFormat/>
    <w:rPr>
      <w:rFonts w:ascii="Wingdings" w:hAnsi="Wingdings" w:cs="Wingdings"/>
    </w:rPr>
  </w:style>
  <w:style w:type="character" w:styleId="WW8Num99z0">
    <w:name w:val="WW8Num99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100z0">
    <w:name w:val="WW8Num100z0"/>
    <w:qFormat/>
    <w:rPr>
      <w:rFonts w:ascii="Wingdings" w:hAnsi="Wingdings" w:cs="Wingdings"/>
    </w:rPr>
  </w:style>
  <w:style w:type="character" w:styleId="WW8Num101z0">
    <w:name w:val="WW8Num101z0"/>
    <w:qFormat/>
    <w:rPr>
      <w:rFonts w:ascii="Wingdings" w:hAnsi="Wingdings" w:cs="Wingdings"/>
      <w:b w:val="false"/>
      <w:i w:val="false"/>
      <w:color w:val="auto"/>
      <w:sz w:val="28"/>
      <w:u w:val="none"/>
      <w:vertAlign w:val="superscript"/>
    </w:rPr>
  </w:style>
  <w:style w:type="character" w:styleId="WW8Num102z0">
    <w:name w:val="WW8Num102z0"/>
    <w:qFormat/>
    <w:rPr>
      <w:rFonts w:ascii="Wingdings" w:hAnsi="Wingdings" w:cs="Wingdings"/>
      <w:b w:val="false"/>
      <w:i w:val="false"/>
      <w:color w:val="auto"/>
      <w:sz w:val="10"/>
      <w:u w:val="none"/>
      <w:vertAlign w:val="superscript"/>
    </w:rPr>
  </w:style>
  <w:style w:type="character" w:styleId="WW8Num103z0">
    <w:name w:val="WW8Num103z0"/>
    <w:qFormat/>
    <w:rPr>
      <w:rFonts w:ascii="Wingdings" w:hAnsi="Wingdings" w:cs="Wingdings"/>
      <w:b w:val="false"/>
      <w:i w:val="false"/>
      <w:color w:val="auto"/>
      <w:sz w:val="28"/>
      <w:u w:val="none"/>
    </w:rPr>
  </w:style>
  <w:style w:type="character" w:styleId="WW8Num105z0">
    <w:name w:val="WW8Num105z0"/>
    <w:qFormat/>
    <w:rPr>
      <w:rFonts w:ascii="Symbol" w:hAnsi="Symbol" w:cs="Symbol"/>
      <w:caps w:val="false"/>
      <w:smallCaps w:val="false"/>
      <w:strike w:val="false"/>
      <w:dstrike w:val="false"/>
      <w:outline w:val="false"/>
      <w:shadow w:val="false"/>
      <w:vanish w:val="false"/>
      <w:color w:val="auto"/>
      <w:kern w:val="0"/>
      <w:position w:val="0"/>
      <w:sz w:val="24"/>
      <w:u w:val="none"/>
      <w:vertAlign w:val="baseline"/>
    </w:rPr>
  </w:style>
  <w:style w:type="character" w:styleId="WW8Num106z0">
    <w:name w:val="WW8Num106z0"/>
    <w:qFormat/>
    <w:rPr/>
  </w:style>
  <w:style w:type="character" w:styleId="WW8Num108z0">
    <w:name w:val="WW8Num108z0"/>
    <w:qFormat/>
    <w:rPr>
      <w:rFonts w:ascii="Wingdings" w:hAnsi="Wingdings" w:cs="Wingdings"/>
      <w:color w:val="auto"/>
    </w:rPr>
  </w:style>
  <w:style w:type="character" w:styleId="WW8Num109z0">
    <w:name w:val="WW8Num109z0"/>
    <w:qFormat/>
    <w:rPr>
      <w:caps w:val="false"/>
      <w:smallCaps w:val="false"/>
      <w:strike w:val="false"/>
      <w:dstrike w:val="false"/>
      <w:outline w:val="false"/>
      <w:shadow w:val="false"/>
      <w:vanish w:val="false"/>
      <w:color w:val="auto"/>
      <w:kern w:val="0"/>
      <w:position w:val="0"/>
      <w:sz w:val="24"/>
      <w:vertAlign w:val="baseline"/>
    </w:rPr>
  </w:style>
  <w:style w:type="character" w:styleId="WW8Num110z0">
    <w:name w:val="WW8Num110z0"/>
    <w:qFormat/>
    <w:rPr>
      <w:rFonts w:ascii="Wingdings" w:hAnsi="Wingdings" w:cs="Wingdings"/>
      <w:b w:val="false"/>
      <w:i/>
      <w:color w:val="auto"/>
      <w:sz w:val="16"/>
      <w:u w:val="none"/>
    </w:rPr>
  </w:style>
  <w:style w:type="character" w:styleId="WW8Num115z0">
    <w:name w:val="WW8Num115z0"/>
    <w:qFormat/>
    <w:rPr>
      <w:rFonts w:ascii="Symbol" w:hAnsi="Symbol" w:cs="Symbol"/>
    </w:rPr>
  </w:style>
  <w:style w:type="character" w:styleId="WW8Num117z0">
    <w:name w:val="WW8Num117z0"/>
    <w:qFormat/>
    <w:rPr>
      <w:rFonts w:ascii="Symbol" w:hAnsi="Symbol" w:cs="Symbol"/>
    </w:rPr>
  </w:style>
  <w:style w:type="character" w:styleId="WW8Num119z0">
    <w:name w:val="WW8Num119z0"/>
    <w:qFormat/>
    <w:rPr>
      <w:rFonts w:ascii="Wingdings" w:hAnsi="Wingdings" w:cs="Wingdings"/>
      <w:sz w:val="16"/>
    </w:rPr>
  </w:style>
  <w:style w:type="character" w:styleId="WW8Num121z0">
    <w:name w:val="WW8Num121z0"/>
    <w:qFormat/>
    <w:rPr>
      <w:rFonts w:ascii="Wingdings" w:hAnsi="Wingdings" w:cs="Wingdings"/>
      <w:color w:val="auto"/>
      <w:sz w:val="20"/>
    </w:rPr>
  </w:style>
  <w:style w:type="character" w:styleId="WW8Num122z0">
    <w:name w:val="WW8Num122z0"/>
    <w:qFormat/>
    <w:rPr>
      <w:rFonts w:ascii="Arial" w:hAnsi="Arial" w:cs="Arial"/>
      <w:b/>
      <w:i/>
      <w:color w:val="auto"/>
      <w:sz w:val="24"/>
      <w:u w:val="none"/>
    </w:rPr>
  </w:style>
  <w:style w:type="character" w:styleId="WW8Num124z0">
    <w:name w:val="WW8Num124z0"/>
    <w:qFormat/>
    <w:rPr>
      <w:rFonts w:ascii="Symbol" w:hAnsi="Symbol" w:cs="Symbol"/>
    </w:rPr>
  </w:style>
  <w:style w:type="character" w:styleId="WW8Num126z0">
    <w:name w:val="WW8Num126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128z0">
    <w:name w:val="WW8Num128z0"/>
    <w:qFormat/>
    <w:rPr/>
  </w:style>
  <w:style w:type="character" w:styleId="WW8Num133z0">
    <w:name w:val="WW8Num133z0"/>
    <w:qFormat/>
    <w:rPr>
      <w:rFonts w:ascii="Wingdings" w:hAnsi="Wingdings" w:cs="Wingdings"/>
    </w:rPr>
  </w:style>
  <w:style w:type="character" w:styleId="WW8Num136z0">
    <w:name w:val="WW8Num136z0"/>
    <w:qFormat/>
    <w:rPr/>
  </w:style>
  <w:style w:type="character" w:styleId="WW8Num140z0">
    <w:name w:val="WW8Num140z0"/>
    <w:qFormat/>
    <w:rPr>
      <w:rFonts w:ascii="Symbol" w:hAnsi="Symbol" w:cs="Symbol"/>
      <w:sz w:val="12"/>
    </w:rPr>
  </w:style>
  <w:style w:type="character" w:styleId="WW8Num142z0">
    <w:name w:val="WW8Num142z0"/>
    <w:qFormat/>
    <w:rPr>
      <w:rFonts w:ascii="Wingdings" w:hAnsi="Wingdings" w:cs="Wingdings"/>
      <w:sz w:val="16"/>
    </w:rPr>
  </w:style>
  <w:style w:type="character" w:styleId="WW8Num143z0">
    <w:name w:val="WW8Num143z0"/>
    <w:qFormat/>
    <w:rPr/>
  </w:style>
  <w:style w:type="character" w:styleId="WW8Num144z0">
    <w:name w:val="WW8Num144z0"/>
    <w:qFormat/>
    <w:rPr>
      <w:caps w:val="false"/>
      <w:smallCaps w:val="false"/>
      <w:strike w:val="false"/>
      <w:dstrike w:val="false"/>
      <w:outline w:val="false"/>
      <w:shadow w:val="false"/>
      <w:vanish w:val="false"/>
      <w:color w:val="auto"/>
      <w:kern w:val="0"/>
      <w:position w:val="0"/>
      <w:sz w:val="24"/>
      <w:vertAlign w:val="baseline"/>
    </w:rPr>
  </w:style>
  <w:style w:type="character" w:styleId="WW8Num145z0">
    <w:name w:val="WW8Num145z0"/>
    <w:qFormat/>
    <w:rPr>
      <w:rFonts w:ascii="Wingdings" w:hAnsi="Wingdings" w:cs="Wingdings"/>
      <w:sz w:val="16"/>
    </w:rPr>
  </w:style>
  <w:style w:type="character" w:styleId="WW8Num148z0">
    <w:name w:val="WW8Num148z0"/>
    <w:qFormat/>
    <w:rPr>
      <w:rFonts w:ascii="Wingdings" w:hAnsi="Wingdings" w:cs="Wingdings"/>
      <w:b/>
      <w:i/>
      <w:sz w:val="24"/>
    </w:rPr>
  </w:style>
  <w:style w:type="character" w:styleId="WW8Num150z0">
    <w:name w:val="WW8Num150z0"/>
    <w:qFormat/>
    <w:rPr>
      <w:rFonts w:ascii="Wingdings" w:hAnsi="Wingdings" w:cs="Wingdings"/>
    </w:rPr>
  </w:style>
  <w:style w:type="character" w:styleId="WW8Num152z0">
    <w:name w:val="WW8Num152z0"/>
    <w:qFormat/>
    <w:rPr>
      <w:rFonts w:ascii="Wingdings" w:hAnsi="Wingdings" w:cs="Wingdings"/>
      <w:color w:val="auto"/>
      <w:sz w:val="20"/>
    </w:rPr>
  </w:style>
  <w:style w:type="character" w:styleId="WW8Num153z0">
    <w:name w:val="WW8Num153z0"/>
    <w:qFormat/>
    <w:rPr>
      <w:rFonts w:ascii="Wingdings" w:hAnsi="Wingdings" w:cs="Wingdings"/>
      <w:b w:val="false"/>
      <w:i w:val="false"/>
      <w:color w:val="auto"/>
      <w:sz w:val="10"/>
      <w:u w:val="none"/>
      <w:vertAlign w:val="superscript"/>
    </w:rPr>
  </w:style>
  <w:style w:type="character" w:styleId="WW8Num154z0">
    <w:name w:val="WW8Num154z0"/>
    <w:qFormat/>
    <w:rPr/>
  </w:style>
  <w:style w:type="character" w:styleId="WW8Num155z0">
    <w:name w:val="WW8Num155z0"/>
    <w:qFormat/>
    <w:rPr>
      <w:rFonts w:ascii="Wingdings" w:hAnsi="Wingdings" w:cs="Wingdings"/>
      <w:b w:val="false"/>
      <w:i w:val="false"/>
      <w:color w:val="auto"/>
      <w:sz w:val="28"/>
      <w:u w:val="none"/>
    </w:rPr>
  </w:style>
  <w:style w:type="character" w:styleId="WW8Num157z0">
    <w:name w:val="WW8Num157z0"/>
    <w:qFormat/>
    <w:rPr>
      <w:rFonts w:ascii="Wingdings" w:hAnsi="Wingdings" w:cs="Wingdings"/>
    </w:rPr>
  </w:style>
  <w:style w:type="character" w:styleId="WW8Num158z0">
    <w:name w:val="WW8Num158z0"/>
    <w:qFormat/>
    <w:rPr>
      <w:rFonts w:ascii="Wingdings" w:hAnsi="Wingdings" w:cs="Wingdings"/>
      <w:b w:val="false"/>
      <w:i/>
      <w:color w:val="auto"/>
      <w:sz w:val="16"/>
      <w:u w:val="none"/>
    </w:rPr>
  </w:style>
  <w:style w:type="character" w:styleId="WW8Num160z0">
    <w:name w:val="WW8Num160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162z0">
    <w:name w:val="WW8Num162z0"/>
    <w:qFormat/>
    <w:rPr/>
  </w:style>
  <w:style w:type="character" w:styleId="WW8Num163z0">
    <w:name w:val="WW8Num163z0"/>
    <w:qFormat/>
    <w:rPr>
      <w:rFonts w:ascii="Symbol" w:hAnsi="Symbol" w:cs="Symbol"/>
      <w:u w:val="none"/>
      <w:vertAlign w:val="superscript"/>
    </w:rPr>
  </w:style>
  <w:style w:type="character" w:styleId="WW8Num164z0">
    <w:name w:val="WW8Num164z0"/>
    <w:qFormat/>
    <w:rPr>
      <w:rFonts w:ascii="Wingdings" w:hAnsi="Wingdings" w:cs="Wingdings"/>
      <w:b w:val="false"/>
      <w:i w:val="false"/>
      <w:color w:val="auto"/>
      <w:sz w:val="20"/>
      <w:u w:val="none"/>
      <w:vertAlign w:val="superscript"/>
    </w:rPr>
  </w:style>
  <w:style w:type="character" w:styleId="WW8Num166z0">
    <w:name w:val="WW8Num166z0"/>
    <w:qFormat/>
    <w:rPr>
      <w:rFonts w:ascii="Symbol" w:hAnsi="Symbol" w:cs="Symbol"/>
    </w:rPr>
  </w:style>
  <w:style w:type="character" w:styleId="WW8Num167z0">
    <w:name w:val="WW8Num167z0"/>
    <w:qFormat/>
    <w:rPr>
      <w:rFonts w:ascii="Symbol" w:hAnsi="Symbol" w:cs="Symbol"/>
      <w:vertAlign w:val="superscript"/>
    </w:rPr>
  </w:style>
  <w:style w:type="character" w:styleId="WW8Num169z0">
    <w:name w:val="WW8Num169z0"/>
    <w:qFormat/>
    <w:rPr>
      <w:rFonts w:ascii="Wingdings" w:hAnsi="Wingdings" w:cs="Wingdings"/>
      <w:b w:val="false"/>
      <w:i w:val="false"/>
      <w:color w:val="auto"/>
      <w:sz w:val="20"/>
      <w:u w:val="none"/>
      <w:vertAlign w:val="superscript"/>
    </w:rPr>
  </w:style>
  <w:style w:type="character" w:styleId="WW8Num170z0">
    <w:name w:val="WW8Num170z0"/>
    <w:qFormat/>
    <w:rPr>
      <w:rFonts w:ascii="Wingdings" w:hAnsi="Wingdings" w:cs="Wingdings"/>
    </w:rPr>
  </w:style>
  <w:style w:type="character" w:styleId="WW8Num171z0">
    <w:name w:val="WW8Num171z0"/>
    <w:qFormat/>
    <w:rPr>
      <w:caps w:val="false"/>
      <w:smallCaps w:val="false"/>
      <w:strike w:val="false"/>
      <w:dstrike w:val="false"/>
      <w:outline w:val="false"/>
      <w:shadow w:val="false"/>
      <w:vanish w:val="false"/>
      <w:color w:val="auto"/>
      <w:kern w:val="0"/>
      <w:position w:val="0"/>
      <w:sz w:val="24"/>
      <w:vertAlign w:val="baseline"/>
    </w:rPr>
  </w:style>
  <w:style w:type="character" w:styleId="WW8Num172z0">
    <w:name w:val="WW8Num172z0"/>
    <w:qFormat/>
    <w:rPr>
      <w:caps w:val="false"/>
      <w:smallCaps w:val="false"/>
      <w:strike w:val="false"/>
      <w:dstrike w:val="false"/>
      <w:outline w:val="false"/>
      <w:shadow w:val="false"/>
      <w:vanish w:val="false"/>
      <w:color w:val="auto"/>
      <w:kern w:val="0"/>
      <w:position w:val="0"/>
      <w:sz w:val="24"/>
      <w:vertAlign w:val="baseline"/>
    </w:rPr>
  </w:style>
  <w:style w:type="character" w:styleId="WW8Num174z0">
    <w:name w:val="WW8Num174z0"/>
    <w:qFormat/>
    <w:rPr>
      <w:rFonts w:ascii="Wingdings" w:hAnsi="Wingdings" w:cs="Wingdings"/>
      <w:b w:val="false"/>
      <w:i w:val="false"/>
      <w:sz w:val="10"/>
      <w:vertAlign w:val="superscript"/>
    </w:rPr>
  </w:style>
  <w:style w:type="character" w:styleId="WW8Num175z0">
    <w:name w:val="WW8Num175z0"/>
    <w:qFormat/>
    <w:rPr>
      <w:rFonts w:ascii="Wingdings" w:hAnsi="Wingdings" w:cs="Wingdings"/>
    </w:rPr>
  </w:style>
  <w:style w:type="character" w:styleId="WW8Num176z0">
    <w:name w:val="WW8Num176z0"/>
    <w:qFormat/>
    <w:rPr>
      <w:rFonts w:ascii="Wingdings" w:hAnsi="Wingdings" w:cs="Wingdings"/>
      <w:b w:val="false"/>
      <w:i/>
      <w:color w:val="auto"/>
      <w:sz w:val="16"/>
      <w:u w:val="none"/>
    </w:rPr>
  </w:style>
  <w:style w:type="character" w:styleId="WW8Num177z0">
    <w:name w:val="WW8Num177z0"/>
    <w:qFormat/>
    <w:rPr/>
  </w:style>
  <w:style w:type="character" w:styleId="WW8Num178z0">
    <w:name w:val="WW8Num178z0"/>
    <w:qFormat/>
    <w:rPr>
      <w:rFonts w:ascii="Wingdings" w:hAnsi="Wingdings" w:cs="Wingdings"/>
      <w:b w:val="false"/>
      <w:i w:val="false"/>
      <w:color w:val="auto"/>
      <w:sz w:val="16"/>
      <w:u w:val="none"/>
    </w:rPr>
  </w:style>
  <w:style w:type="character" w:styleId="WW8Num181z0">
    <w:name w:val="WW8Num181z0"/>
    <w:qFormat/>
    <w:rPr>
      <w:rFonts w:ascii="Wingdings" w:hAnsi="Wingdings" w:cs="Wingdings"/>
      <w:b w:val="false"/>
      <w:i w:val="false"/>
      <w:color w:val="auto"/>
      <w:sz w:val="24"/>
    </w:rPr>
  </w:style>
  <w:style w:type="character" w:styleId="WW8Num182z0">
    <w:name w:val="WW8Num182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183z0">
    <w:name w:val="WW8Num183z0"/>
    <w:qFormat/>
    <w:rPr/>
  </w:style>
  <w:style w:type="character" w:styleId="WW8Num184z0">
    <w:name w:val="WW8Num184z0"/>
    <w:qFormat/>
    <w:rPr>
      <w:rFonts w:ascii="Wingdings" w:hAnsi="Wingdings" w:cs="Wingdings"/>
      <w:b/>
      <w:i/>
      <w:sz w:val="24"/>
    </w:rPr>
  </w:style>
  <w:style w:type="character" w:styleId="WW8Num185z0">
    <w:name w:val="WW8Num185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188z0">
    <w:name w:val="WW8Num188z0"/>
    <w:qFormat/>
    <w:rPr>
      <w:rFonts w:ascii="Wingdings" w:hAnsi="Wingdings" w:cs="Wingdings"/>
      <w:b w:val="false"/>
      <w:i w:val="false"/>
      <w:color w:val="auto"/>
      <w:sz w:val="10"/>
      <w:u w:val="none"/>
      <w:vertAlign w:val="superscript"/>
    </w:rPr>
  </w:style>
  <w:style w:type="character" w:styleId="WW8Num190z0">
    <w:name w:val="WW8Num190z0"/>
    <w:qFormat/>
    <w:rPr>
      <w:rFonts w:ascii="Wingdings" w:hAnsi="Wingdings" w:cs="Wingdings"/>
      <w:b w:val="false"/>
      <w:i w:val="false"/>
      <w:color w:val="auto"/>
      <w:sz w:val="10"/>
      <w:u w:val="none"/>
      <w:vertAlign w:val="superscript"/>
    </w:rPr>
  </w:style>
  <w:style w:type="character" w:styleId="WW8Num191z0">
    <w:name w:val="WW8Num191z0"/>
    <w:qFormat/>
    <w:rPr>
      <w:rFonts w:ascii="Symbol" w:hAnsi="Symbol" w:cs="Symbol"/>
      <w:color w:val="auto"/>
      <w:u w:val="none"/>
      <w:vertAlign w:val="superscript"/>
    </w:rPr>
  </w:style>
  <w:style w:type="character" w:styleId="WW8Num194z0">
    <w:name w:val="WW8Num194z0"/>
    <w:qFormat/>
    <w:rPr/>
  </w:style>
  <w:style w:type="character" w:styleId="WW8Num198z0">
    <w:name w:val="WW8Num198z0"/>
    <w:qFormat/>
    <w:rPr>
      <w:rFonts w:ascii="Wingdings" w:hAnsi="Wingdings" w:cs="Wingdings"/>
      <w:b/>
      <w:i/>
      <w:sz w:val="24"/>
    </w:rPr>
  </w:style>
  <w:style w:type="character" w:styleId="WW8Num200z0">
    <w:name w:val="WW8Num200z0"/>
    <w:qFormat/>
    <w:rPr>
      <w:rFonts w:ascii="Wingdings" w:hAnsi="Wingdings" w:cs="Wingdings"/>
      <w:b w:val="false"/>
      <w:i w:val="false"/>
      <w:color w:val="auto"/>
      <w:sz w:val="20"/>
      <w:vertAlign w:val="superscript"/>
    </w:rPr>
  </w:style>
  <w:style w:type="character" w:styleId="WW8Num201z0">
    <w:name w:val="WW8Num201z0"/>
    <w:qFormat/>
    <w:rPr>
      <w:rFonts w:ascii="Wingdings" w:hAnsi="Wingdings" w:cs="Wingdings"/>
      <w:sz w:val="16"/>
    </w:rPr>
  </w:style>
  <w:style w:type="character" w:styleId="WW8Num202z0">
    <w:name w:val="WW8Num202z0"/>
    <w:qFormat/>
    <w:rPr>
      <w:rFonts w:ascii="Wingdings" w:hAnsi="Wingdings" w:cs="Wingdings"/>
      <w:sz w:val="16"/>
    </w:rPr>
  </w:style>
  <w:style w:type="character" w:styleId="WW8Num203z0">
    <w:name w:val="WW8Num203z0"/>
    <w:qFormat/>
    <w:rPr>
      <w:rFonts w:ascii="Wingdings" w:hAnsi="Wingdings" w:cs="Wingdings"/>
      <w:b w:val="false"/>
      <w:i w:val="false"/>
      <w:color w:val="auto"/>
      <w:sz w:val="28"/>
      <w:u w:val="none"/>
      <w:vertAlign w:val="superscript"/>
    </w:rPr>
  </w:style>
  <w:style w:type="character" w:styleId="WW8Num205z0">
    <w:name w:val="WW8Num205z0"/>
    <w:qFormat/>
    <w:rPr>
      <w:rFonts w:ascii="Wingdings" w:hAnsi="Wingdings" w:cs="Wingdings"/>
      <w:b w:val="false"/>
      <w:i/>
      <w:color w:val="auto"/>
      <w:sz w:val="16"/>
      <w:u w:val="none"/>
    </w:rPr>
  </w:style>
  <w:style w:type="character" w:styleId="WW8Num207z0">
    <w:name w:val="WW8Num207z0"/>
    <w:qFormat/>
    <w:rPr>
      <w:rFonts w:ascii="Symbol" w:hAnsi="Symbol" w:cs="Symbol"/>
    </w:rPr>
  </w:style>
  <w:style w:type="character" w:styleId="WW8Num208z0">
    <w:name w:val="WW8Num208z0"/>
    <w:qFormat/>
    <w:rPr/>
  </w:style>
  <w:style w:type="character" w:styleId="WW8Num211z0">
    <w:name w:val="WW8Num211z0"/>
    <w:qFormat/>
    <w:rPr>
      <w:rFonts w:ascii="Symbol" w:hAnsi="Symbol" w:cs="Symbol"/>
    </w:rPr>
  </w:style>
  <w:style w:type="character" w:styleId="WW8Num212z0">
    <w:name w:val="WW8Num212z0"/>
    <w:qFormat/>
    <w:rPr>
      <w:rFonts w:ascii="Wingdings" w:hAnsi="Wingdings" w:cs="Wingdings"/>
    </w:rPr>
  </w:style>
  <w:style w:type="character" w:styleId="WW8Num213z0">
    <w:name w:val="WW8Num213z0"/>
    <w:qFormat/>
    <w:rPr>
      <w:caps w:val="false"/>
      <w:smallCaps w:val="false"/>
      <w:strike w:val="false"/>
      <w:dstrike w:val="false"/>
      <w:outline w:val="false"/>
      <w:shadow w:val="false"/>
      <w:vanish w:val="false"/>
      <w:color w:val="auto"/>
      <w:kern w:val="0"/>
      <w:position w:val="0"/>
      <w:sz w:val="24"/>
      <w:vertAlign w:val="baseline"/>
    </w:rPr>
  </w:style>
  <w:style w:type="character" w:styleId="WW8Num215z0">
    <w:name w:val="WW8Num215z0"/>
    <w:qFormat/>
    <w:rPr>
      <w:rFonts w:ascii="Times New Roman" w:hAnsi="Times New Roman" w:cs="Times New Roman"/>
      <w:b/>
      <w:i/>
      <w:sz w:val="24"/>
    </w:rPr>
  </w:style>
  <w:style w:type="character" w:styleId="WW8Num216z0">
    <w:name w:val="WW8Num216z0"/>
    <w:qFormat/>
    <w:rPr/>
  </w:style>
  <w:style w:type="character" w:styleId="WW8Num217z0">
    <w:name w:val="WW8Num217z0"/>
    <w:qFormat/>
    <w:rPr>
      <w:rFonts w:ascii="Arial" w:hAnsi="Arial" w:cs="Arial"/>
      <w:b w:val="false"/>
      <w:i w:val="false"/>
      <w:color w:val="auto"/>
      <w:sz w:val="16"/>
      <w:u w:val="none"/>
    </w:rPr>
  </w:style>
  <w:style w:type="character" w:styleId="WW8Num218z0">
    <w:name w:val="WW8Num218z0"/>
    <w:qFormat/>
    <w:rPr>
      <w:rFonts w:ascii="Wingdings" w:hAnsi="Wingdings" w:cs="Wingdings"/>
    </w:rPr>
  </w:style>
  <w:style w:type="character" w:styleId="WW8Num223z0">
    <w:name w:val="WW8Num223z0"/>
    <w:qFormat/>
    <w:rPr>
      <w:rFonts w:ascii="Wingdings" w:hAnsi="Wingdings" w:cs="Wingdings"/>
      <w:b/>
      <w:i/>
      <w:sz w:val="24"/>
    </w:rPr>
  </w:style>
  <w:style w:type="character" w:styleId="WW8Num224z0">
    <w:name w:val="WW8Num224z0"/>
    <w:qFormat/>
    <w:rPr>
      <w:rFonts w:ascii="Symbol" w:hAnsi="Symbol" w:cs="Symbol"/>
      <w:u w:val="none"/>
      <w:vertAlign w:val="superscript"/>
    </w:rPr>
  </w:style>
  <w:style w:type="character" w:styleId="WW8Num227z0">
    <w:name w:val="WW8Num227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228z0">
    <w:name w:val="WW8Num228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229z0">
    <w:name w:val="WW8Num229z0"/>
    <w:qFormat/>
    <w:rPr/>
  </w:style>
  <w:style w:type="character" w:styleId="WW8Num232z0">
    <w:name w:val="WW8Num232z0"/>
    <w:qFormat/>
    <w:rPr/>
  </w:style>
  <w:style w:type="character" w:styleId="WW8Num233z0">
    <w:name w:val="WW8Num233z0"/>
    <w:qFormat/>
    <w:rPr>
      <w:rFonts w:ascii="Wingdings" w:hAnsi="Wingdings" w:cs="Wingdings"/>
      <w:b w:val="false"/>
      <w:i w:val="false"/>
      <w:color w:val="auto"/>
      <w:sz w:val="20"/>
      <w:u w:val="none"/>
    </w:rPr>
  </w:style>
  <w:style w:type="character" w:styleId="WW8Num237z0">
    <w:name w:val="WW8Num237z0"/>
    <w:qFormat/>
    <w:rPr>
      <w:rFonts w:ascii="Symbol" w:hAnsi="Symbol" w:cs="Symbol"/>
      <w:sz w:val="12"/>
    </w:rPr>
  </w:style>
  <w:style w:type="character" w:styleId="WW8Num238z0">
    <w:name w:val="WW8Num238z0"/>
    <w:qFormat/>
    <w:rPr>
      <w:rFonts w:ascii="Wingdings" w:hAnsi="Wingdings" w:cs="Wingdings"/>
      <w:sz w:val="10"/>
    </w:rPr>
  </w:style>
  <w:style w:type="character" w:styleId="WW8Num241z0">
    <w:name w:val="WW8Num241z0"/>
    <w:qFormat/>
    <w:rPr>
      <w:rFonts w:ascii="Wingdings" w:hAnsi="Wingdings" w:cs="Wingdings"/>
      <w:b w:val="false"/>
      <w:i w:val="false"/>
      <w:color w:val="auto"/>
      <w:sz w:val="10"/>
      <w:u w:val="none"/>
      <w:vertAlign w:val="superscript"/>
    </w:rPr>
  </w:style>
  <w:style w:type="character" w:styleId="WW8Num242z0">
    <w:name w:val="WW8Num242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245z0">
    <w:name w:val="WW8Num245z0"/>
    <w:qFormat/>
    <w:rPr>
      <w:rFonts w:ascii="Symbol" w:hAnsi="Symbol" w:cs="Symbol"/>
    </w:rPr>
  </w:style>
  <w:style w:type="character" w:styleId="WW8Num246z0">
    <w:name w:val="WW8Num246z0"/>
    <w:qFormat/>
    <w:rPr>
      <w:rFonts w:ascii="Wingdings" w:hAnsi="Wingdings" w:cs="Wingdings"/>
      <w:b w:val="false"/>
      <w:i w:val="false"/>
      <w:color w:val="auto"/>
      <w:sz w:val="16"/>
      <w:u w:val="none"/>
    </w:rPr>
  </w:style>
  <w:style w:type="character" w:styleId="WW8Num250z0">
    <w:name w:val="WW8Num250z0"/>
    <w:qFormat/>
    <w:rPr>
      <w:rFonts w:ascii="Symbol" w:hAnsi="Symbol" w:cs="Symbol"/>
      <w:vertAlign w:val="superscript"/>
    </w:rPr>
  </w:style>
  <w:style w:type="character" w:styleId="WW8Num251z0">
    <w:name w:val="WW8Num251z0"/>
    <w:qFormat/>
    <w:rPr/>
  </w:style>
  <w:style w:type="character" w:styleId="WW8Num252z0">
    <w:name w:val="WW8Num252z0"/>
    <w:qFormat/>
    <w:rPr>
      <w:rFonts w:ascii="Wingdings" w:hAnsi="Wingdings" w:cs="Wingdings"/>
      <w:b/>
      <w:i w:val="false"/>
      <w:sz w:val="28"/>
    </w:rPr>
  </w:style>
  <w:style w:type="character" w:styleId="WW8Num254z0">
    <w:name w:val="WW8Num254z0"/>
    <w:qFormat/>
    <w:rPr>
      <w:rFonts w:ascii="Wingdings" w:hAnsi="Wingdings" w:cs="Wingdings"/>
      <w:b w:val="false"/>
      <w:i w:val="false"/>
      <w:sz w:val="28"/>
      <w:u w:val="none"/>
    </w:rPr>
  </w:style>
  <w:style w:type="character" w:styleId="WW8Num255z0">
    <w:name w:val="WW8Num255z0"/>
    <w:qFormat/>
    <w:rPr>
      <w:rFonts w:ascii="Wingdings" w:hAnsi="Wingdings" w:cs="Wingdings"/>
      <w:b w:val="false"/>
      <w:i w:val="false"/>
      <w:sz w:val="12"/>
      <w:u w:val="none"/>
      <w:vertAlign w:val="superscript"/>
    </w:rPr>
  </w:style>
  <w:style w:type="character" w:styleId="WW8Num256z0">
    <w:name w:val="WW8Num256z0"/>
    <w:qFormat/>
    <w:rPr>
      <w:rFonts w:ascii="Wingdings" w:hAnsi="Wingdings" w:cs="Wingdings"/>
      <w:sz w:val="16"/>
    </w:rPr>
  </w:style>
  <w:style w:type="character" w:styleId="WW8Num257z0">
    <w:name w:val="WW8Num257z0"/>
    <w:qFormat/>
    <w:rPr>
      <w:rFonts w:ascii="Wingdings" w:hAnsi="Wingdings" w:cs="Wingdings"/>
      <w:b w:val="false"/>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258z0">
    <w:name w:val="WW8Num258z0"/>
    <w:qFormat/>
    <w:rPr>
      <w:rFonts w:ascii="Wingdings" w:hAnsi="Wingdings" w:cs="Wingdings"/>
      <w:b w:val="false"/>
      <w:i w:val="false"/>
      <w:color w:val="auto"/>
      <w:sz w:val="12"/>
      <w:u w:val="none"/>
      <w:vertAlign w:val="superscript"/>
    </w:rPr>
  </w:style>
  <w:style w:type="character" w:styleId="WW8Num259z0">
    <w:name w:val="WW8Num259z0"/>
    <w:qFormat/>
    <w:rPr>
      <w:rFonts w:ascii="Wingdings" w:hAnsi="Wingdings" w:cs="Wingdings"/>
      <w:b w:val="false"/>
      <w:i w:val="false"/>
      <w:color w:val="auto"/>
      <w:sz w:val="20"/>
      <w:u w:val="none"/>
      <w:vertAlign w:val="superscript"/>
    </w:rPr>
  </w:style>
  <w:style w:type="character" w:styleId="WW8Num260z0">
    <w:name w:val="WW8Num260z0"/>
    <w:qFormat/>
    <w:rPr>
      <w:rFonts w:ascii="Wingdings" w:hAnsi="Wingdings" w:cs="Wingdings"/>
      <w:sz w:val="16"/>
    </w:rPr>
  </w:style>
  <w:style w:type="character" w:styleId="WW8Num261z0">
    <w:name w:val="WW8Num261z0"/>
    <w:qFormat/>
    <w:rPr>
      <w:rFonts w:ascii="Wingdings" w:hAnsi="Wingdings" w:cs="Wingdings"/>
      <w:b w:val="false"/>
      <w:i w:val="false"/>
      <w:sz w:val="28"/>
    </w:rPr>
  </w:style>
  <w:style w:type="character" w:styleId="WW8Num262z0">
    <w:name w:val="WW8Num262z0"/>
    <w:qFormat/>
    <w:rPr>
      <w:rFonts w:ascii="Symbol" w:hAnsi="Symbol" w:cs="Symbol"/>
    </w:rPr>
  </w:style>
  <w:style w:type="character" w:styleId="WW8Num264z0">
    <w:name w:val="WW8Num264z0"/>
    <w:qFormat/>
    <w:rPr/>
  </w:style>
  <w:style w:type="character" w:styleId="WW8Num266z0">
    <w:name w:val="WW8Num266z0"/>
    <w:qFormat/>
    <w:rPr/>
  </w:style>
  <w:style w:type="character" w:styleId="WW8Num269z0">
    <w:name w:val="WW8Num269z0"/>
    <w:qFormat/>
    <w:rPr>
      <w:rFonts w:ascii="Wingdings" w:hAnsi="Wingdings" w:cs="Wingdings"/>
      <w:b w:val="false"/>
      <w:i w:val="false"/>
      <w:color w:val="auto"/>
      <w:sz w:val="12"/>
      <w:u w:val="none"/>
      <w:vertAlign w:val="superscript"/>
    </w:rPr>
  </w:style>
  <w:style w:type="character" w:styleId="WW8Num273z0">
    <w:name w:val="WW8Num273z0"/>
    <w:qFormat/>
    <w:rPr>
      <w:rFonts w:ascii="Symbol" w:hAnsi="Symbol" w:cs="Symbol"/>
    </w:rPr>
  </w:style>
  <w:style w:type="character" w:styleId="WW8Num274z0">
    <w:name w:val="WW8Num274z0"/>
    <w:qFormat/>
    <w:rPr/>
  </w:style>
  <w:style w:type="character" w:styleId="WW8Num276z0">
    <w:name w:val="WW8Num276z0"/>
    <w:qFormat/>
    <w:rPr>
      <w:rFonts w:ascii="Arial" w:hAnsi="Arial" w:cs="Arial"/>
      <w:b w:val="false"/>
      <w:i/>
      <w:color w:val="auto"/>
      <w:sz w:val="16"/>
      <w:u w:val="none"/>
    </w:rPr>
  </w:style>
  <w:style w:type="character" w:styleId="WW8Num278z0">
    <w:name w:val="WW8Num278z0"/>
    <w:qFormat/>
    <w:rPr/>
  </w:style>
  <w:style w:type="character" w:styleId="WW8Num279z0">
    <w:name w:val="WW8Num279z0"/>
    <w:qFormat/>
    <w:rPr>
      <w:rFonts w:ascii="Wingdings" w:hAnsi="Wingdings" w:cs="Wingdings"/>
      <w:b w:val="false"/>
      <w:i w:val="false"/>
      <w:color w:val="auto"/>
      <w:sz w:val="16"/>
      <w:u w:val="none"/>
    </w:rPr>
  </w:style>
  <w:style w:type="character" w:styleId="WW8Num280z0">
    <w:name w:val="WW8Num280z0"/>
    <w:qFormat/>
    <w:rPr/>
  </w:style>
  <w:style w:type="character" w:styleId="WW8Num281z0">
    <w:name w:val="WW8Num281z0"/>
    <w:qFormat/>
    <w:rPr>
      <w:rFonts w:ascii="Wingdings" w:hAnsi="Wingdings" w:cs="Wingdings"/>
      <w:b w:val="false"/>
      <w:i w:val="false"/>
      <w:color w:val="auto"/>
      <w:sz w:val="12"/>
      <w:u w:val="none"/>
      <w:vertAlign w:val="superscript"/>
    </w:rPr>
  </w:style>
  <w:style w:type="character" w:styleId="WW8Num286z0">
    <w:name w:val="WW8Num286z0"/>
    <w:qFormat/>
    <w:rPr>
      <w:rFonts w:ascii="Wingdings" w:hAnsi="Wingdings" w:cs="Wingdings"/>
      <w:b w:val="false"/>
      <w:i w:val="false"/>
      <w:color w:val="auto"/>
      <w:sz w:val="12"/>
      <w:u w:val="none"/>
      <w:vertAlign w:val="superscript"/>
    </w:rPr>
  </w:style>
  <w:style w:type="character" w:styleId="WW8Num287z0">
    <w:name w:val="WW8Num287z0"/>
    <w:qFormat/>
    <w:rPr>
      <w:rFonts w:ascii="Wingdings" w:hAnsi="Wingdings" w:cs="Wingdings"/>
      <w:b w:val="false"/>
      <w:i w:val="false"/>
      <w:color w:val="auto"/>
      <w:sz w:val="16"/>
      <w:u w:val="none"/>
    </w:rPr>
  </w:style>
  <w:style w:type="character" w:styleId="WW8Num288z0">
    <w:name w:val="WW8Num288z0"/>
    <w:qFormat/>
    <w:rPr>
      <w:rFonts w:ascii="Symbol" w:hAnsi="Symbol" w:cs="Symbol"/>
    </w:rPr>
  </w:style>
  <w:style w:type="character" w:styleId="WW8Num293z0">
    <w:name w:val="WW8Num293z0"/>
    <w:qFormat/>
    <w:rPr>
      <w:rFonts w:ascii="Wingdings" w:hAnsi="Wingdings" w:cs="Wingdings"/>
      <w:color w:val="auto"/>
      <w:sz w:val="20"/>
    </w:rPr>
  </w:style>
  <w:style w:type="character" w:styleId="WW8Num295z0">
    <w:name w:val="WW8Num295z0"/>
    <w:qFormat/>
    <w:rPr>
      <w:rFonts w:ascii="Symbol" w:hAnsi="Symbol" w:cs="Symbol"/>
      <w:vertAlign w:val="superscript"/>
    </w:rPr>
  </w:style>
  <w:style w:type="character" w:styleId="WW8Num296z0">
    <w:name w:val="WW8Num296z0"/>
    <w:qFormat/>
    <w:rPr/>
  </w:style>
  <w:style w:type="character" w:styleId="WW8Num297z0">
    <w:name w:val="WW8Num297z0"/>
    <w:qFormat/>
    <w:rPr>
      <w:rFonts w:ascii="Arial" w:hAnsi="Arial" w:cs="Arial"/>
      <w:b w:val="false"/>
      <w:i/>
      <w:color w:val="auto"/>
      <w:sz w:val="16"/>
      <w:u w:val="none"/>
    </w:rPr>
  </w:style>
  <w:style w:type="character" w:styleId="WW8Num298z0">
    <w:name w:val="WW8Num298z0"/>
    <w:qFormat/>
    <w:rPr/>
  </w:style>
  <w:style w:type="character" w:styleId="WW8Num299z0">
    <w:name w:val="WW8Num299z0"/>
    <w:qFormat/>
    <w:rPr/>
  </w:style>
  <w:style w:type="character" w:styleId="WW8Num302z0">
    <w:name w:val="WW8Num302z0"/>
    <w:qFormat/>
    <w:rPr>
      <w:rFonts w:ascii="Wingdings" w:hAnsi="Wingdings" w:cs="Wingdings"/>
      <w:b/>
      <w:i w:val="false"/>
      <w:sz w:val="28"/>
      <w:u w:val="none"/>
    </w:rPr>
  </w:style>
  <w:style w:type="character" w:styleId="WW8Num304z0">
    <w:name w:val="WW8Num304z0"/>
    <w:qFormat/>
    <w:rPr/>
  </w:style>
  <w:style w:type="character" w:styleId="WW8Num306z0">
    <w:name w:val="WW8Num306z0"/>
    <w:qFormat/>
    <w:rPr/>
  </w:style>
  <w:style w:type="character" w:styleId="WW8Num307z0">
    <w:name w:val="WW8Num307z0"/>
    <w:qFormat/>
    <w:rPr>
      <w:rFonts w:ascii="Wingdings" w:hAnsi="Wingdings" w:cs="Wingdings"/>
      <w:b w:val="false"/>
      <w:i w:val="false"/>
      <w:color w:val="auto"/>
      <w:sz w:val="28"/>
    </w:rPr>
  </w:style>
  <w:style w:type="character" w:styleId="WW8Num311z0">
    <w:name w:val="WW8Num311z0"/>
    <w:qFormat/>
    <w:rPr/>
  </w:style>
  <w:style w:type="character" w:styleId="WW8Num313z0">
    <w:name w:val="WW8Num313z0"/>
    <w:qFormat/>
    <w:rPr>
      <w:rFonts w:ascii="Wingdings" w:hAnsi="Wingdings" w:cs="Wingdings"/>
      <w:color w:val="auto"/>
      <w:sz w:val="20"/>
    </w:rPr>
  </w:style>
  <w:style w:type="character" w:styleId="WW8Num316z0">
    <w:name w:val="WW8Num316z0"/>
    <w:qFormat/>
    <w:rPr>
      <w:rFonts w:ascii="Wingdings" w:hAnsi="Wingdings" w:cs="Wingdings"/>
    </w:rPr>
  </w:style>
  <w:style w:type="character" w:styleId="WW8Num318z0">
    <w:name w:val="WW8Num318z0"/>
    <w:qFormat/>
    <w:rPr>
      <w:rFonts w:ascii="Wingdings" w:hAnsi="Wingdings" w:cs="Wingdings"/>
      <w:b w:val="false"/>
      <w:i w:val="false"/>
      <w:color w:val="auto"/>
      <w:sz w:val="16"/>
      <w:u w:val="none"/>
    </w:rPr>
  </w:style>
  <w:style w:type="character" w:styleId="WW8Num323z0">
    <w:name w:val="WW8Num323z0"/>
    <w:qFormat/>
    <w:rPr>
      <w:rFonts w:ascii="Wingdings" w:hAnsi="Wingdings" w:cs="Wingdings"/>
      <w:b w:val="false"/>
      <w:i w:val="false"/>
      <w:color w:val="auto"/>
      <w:sz w:val="10"/>
      <w:u w:val="none"/>
      <w:vertAlign w:val="superscript"/>
    </w:rPr>
  </w:style>
  <w:style w:type="character" w:styleId="WW8Num325z0">
    <w:name w:val="WW8Num325z0"/>
    <w:qFormat/>
    <w:rPr>
      <w:rFonts w:ascii="Wingdings" w:hAnsi="Wingdings" w:cs="Wingdings"/>
      <w:b/>
      <w:i/>
      <w:sz w:val="24"/>
    </w:rPr>
  </w:style>
  <w:style w:type="character" w:styleId="WW8Num327z0">
    <w:name w:val="WW8Num327z0"/>
    <w:qFormat/>
    <w:rPr>
      <w:rFonts w:ascii="Wingdings" w:hAnsi="Wingdings" w:cs="Wingdings"/>
      <w:b/>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328z0">
    <w:name w:val="WW8Num328z0"/>
    <w:qFormat/>
    <w:rPr>
      <w:rFonts w:ascii="Wingdings" w:hAnsi="Wingdings" w:cs="Wingdings"/>
      <w:b w:val="false"/>
      <w:i w:val="false"/>
      <w:color w:val="auto"/>
      <w:sz w:val="28"/>
      <w:u w:val="none"/>
      <w:vertAlign w:val="superscript"/>
    </w:rPr>
  </w:style>
  <w:style w:type="character" w:styleId="WW8Num329z0">
    <w:name w:val="WW8Num329z0"/>
    <w:qFormat/>
    <w:rPr>
      <w:rFonts w:ascii="Arial" w:hAnsi="Arial" w:cs="Arial"/>
      <w:b w:val="false"/>
      <w:i w:val="false"/>
      <w:color w:val="auto"/>
      <w:sz w:val="16"/>
      <w:u w:val="none"/>
    </w:rPr>
  </w:style>
  <w:style w:type="character" w:styleId="WW8Num330z0">
    <w:name w:val="WW8Num330z0"/>
    <w:qFormat/>
    <w:rPr>
      <w:rFonts w:ascii="Wingdings" w:hAnsi="Wingdings" w:cs="Wingdings"/>
      <w:b/>
      <w:i/>
      <w:sz w:val="24"/>
    </w:rPr>
  </w:style>
  <w:style w:type="character" w:styleId="WW8Num332z0">
    <w:name w:val="WW8Num332z0"/>
    <w:qFormat/>
    <w:rPr>
      <w:rFonts w:ascii="Wingdings" w:hAnsi="Wingdings" w:cs="Wingdings"/>
      <w:sz w:val="20"/>
    </w:rPr>
  </w:style>
  <w:style w:type="character" w:styleId="WW8Num333z0">
    <w:name w:val="WW8Num333z0"/>
    <w:qFormat/>
    <w:rPr>
      <w:rFonts w:ascii="Wingdings" w:hAnsi="Wingdings" w:cs="Wingdings"/>
      <w:b/>
      <w:i/>
      <w:sz w:val="24"/>
    </w:rPr>
  </w:style>
  <w:style w:type="character" w:styleId="WW8Num335z0">
    <w:name w:val="WW8Num335z0"/>
    <w:qFormat/>
    <w:rPr>
      <w:rFonts w:ascii="Wingdings" w:hAnsi="Wingdings" w:cs="Wingdings"/>
      <w:sz w:val="16"/>
    </w:rPr>
  </w:style>
  <w:style w:type="character" w:styleId="WW8Num336z0">
    <w:name w:val="WW8Num336z0"/>
    <w:qFormat/>
    <w:rPr>
      <w:rFonts w:ascii="Wingdings" w:hAnsi="Wingdings" w:cs="Wingdings"/>
      <w:b/>
      <w:i/>
      <w:sz w:val="24"/>
    </w:rPr>
  </w:style>
  <w:style w:type="character" w:styleId="WW8Num339z0">
    <w:name w:val="WW8Num339z0"/>
    <w:qFormat/>
    <w:rPr>
      <w:rFonts w:ascii="Wingdings" w:hAnsi="Wingdings" w:cs="Wingdings"/>
      <w:b/>
      <w:i/>
      <w:sz w:val="24"/>
    </w:rPr>
  </w:style>
  <w:style w:type="character" w:styleId="WW8Num340z0">
    <w:name w:val="WW8Num340z0"/>
    <w:qFormat/>
    <w:rPr>
      <w:rFonts w:ascii="Wingdings" w:hAnsi="Wingdings" w:cs="Wingdings"/>
    </w:rPr>
  </w:style>
  <w:style w:type="character" w:styleId="WW8Num341z0">
    <w:name w:val="WW8Num341z0"/>
    <w:qFormat/>
    <w:rPr>
      <w:rFonts w:ascii="Wingdings" w:hAnsi="Wingdings" w:cs="Wingdings"/>
      <w:color w:val="auto"/>
      <w:sz w:val="20"/>
    </w:rPr>
  </w:style>
  <w:style w:type="character" w:styleId="WW8Num342z0">
    <w:name w:val="WW8Num342z0"/>
    <w:qFormat/>
    <w:rPr>
      <w:rFonts w:ascii="Wingdings" w:hAnsi="Wingdings" w:cs="Wingdings"/>
      <w:b/>
      <w:i/>
      <w:sz w:val="24"/>
    </w:rPr>
  </w:style>
  <w:style w:type="character" w:styleId="WW8Num345z0">
    <w:name w:val="WW8Num345z0"/>
    <w:qFormat/>
    <w:rPr>
      <w:rFonts w:ascii="Symbol" w:hAnsi="Symbol" w:cs="Symbol"/>
    </w:rPr>
  </w:style>
  <w:style w:type="character" w:styleId="WW8Num346z0">
    <w:name w:val="WW8Num346z0"/>
    <w:qFormat/>
    <w:rPr>
      <w:rFonts w:ascii="Wingdings" w:hAnsi="Wingdings" w:cs="Wingdings"/>
      <w:b w:val="false"/>
      <w:i w:val="false"/>
      <w:sz w:val="14"/>
      <w:u w:val="none"/>
    </w:rPr>
  </w:style>
  <w:style w:type="character" w:styleId="WW8Num347z0">
    <w:name w:val="WW8Num347z0"/>
    <w:qFormat/>
    <w:rPr>
      <w:rFonts w:ascii="Wingdings" w:hAnsi="Wingdings" w:cs="Wingdings"/>
      <w:b w:val="false"/>
      <w:i w:val="false"/>
      <w:sz w:val="16"/>
      <w:u w:val="none"/>
    </w:rPr>
  </w:style>
  <w:style w:type="character" w:styleId="WW8NumSt61z0">
    <w:name w:val="WW8NumSt61z0"/>
    <w:qFormat/>
    <w:rPr>
      <w:rFonts w:ascii="Wingdings" w:hAnsi="Wingdings" w:cs="Wingdings"/>
    </w:rPr>
  </w:style>
  <w:style w:type="character" w:styleId="WW8NumSt72z0">
    <w:name w:val="WW8NumSt72z0"/>
    <w:qFormat/>
    <w:rPr>
      <w:rFonts w:ascii="Wingdings" w:hAnsi="Wingdings" w:cs="Wingdings"/>
      <w:sz w:val="28"/>
    </w:rPr>
  </w:style>
  <w:style w:type="character" w:styleId="WW8NumSt73z0">
    <w:name w:val="WW8NumSt73z0"/>
    <w:qFormat/>
    <w:rPr>
      <w:rFonts w:ascii="Wingdings" w:hAnsi="Wingdings" w:cs="Wingdings"/>
      <w:sz w:val="12"/>
    </w:rPr>
  </w:style>
  <w:style w:type="character" w:styleId="WW8NumSt114z0">
    <w:name w:val="WW8NumSt114z0"/>
    <w:qFormat/>
    <w:rPr>
      <w:rFonts w:ascii="Wingdings" w:hAnsi="Wingdings" w:cs="Wingdings"/>
      <w:sz w:val="12"/>
    </w:rPr>
  </w:style>
  <w:style w:type="character" w:styleId="WW8NumSt119z0">
    <w:name w:val="WW8NumSt119z0"/>
    <w:qFormat/>
    <w:rPr>
      <w:rFonts w:ascii="Wingdings" w:hAnsi="Wingdings" w:cs="Wingdings"/>
    </w:rPr>
  </w:style>
  <w:style w:type="character" w:styleId="WW8NumSt122z0">
    <w:name w:val="WW8NumSt122z0"/>
    <w:qFormat/>
    <w:rPr>
      <w:rFonts w:ascii="Wingdings" w:hAnsi="Wingdings" w:cs="Wingdings"/>
    </w:rPr>
  </w:style>
  <w:style w:type="character" w:styleId="WW8NumSt124z0">
    <w:name w:val="WW8NumSt124z0"/>
    <w:qFormat/>
    <w:rPr>
      <w:rFonts w:ascii="Wingdings" w:hAnsi="Wingdings" w:cs="Wingdings"/>
    </w:rPr>
  </w:style>
  <w:style w:type="character" w:styleId="WW8NumSt169z0">
    <w:name w:val="WW8NumSt169z0"/>
    <w:qFormat/>
    <w:rPr>
      <w:rFonts w:ascii="Wingdings" w:hAnsi="Wingdings" w:cs="Wingdings"/>
      <w:sz w:val="28"/>
    </w:rPr>
  </w:style>
  <w:style w:type="character" w:styleId="WW8NumSt173z0">
    <w:name w:val="WW8NumSt173z0"/>
    <w:qFormat/>
    <w:rPr>
      <w:rFonts w:ascii="Wingdings" w:hAnsi="Wingdings" w:cs="Wingdings"/>
    </w:rPr>
  </w:style>
  <w:style w:type="character" w:styleId="WW8NumSt174z0">
    <w:name w:val="WW8NumSt174z0"/>
    <w:qFormat/>
    <w:rPr>
      <w:rFonts w:ascii="Wingdings" w:hAnsi="Wingdings" w:cs="Wingdings"/>
    </w:rPr>
  </w:style>
  <w:style w:type="character" w:styleId="WW8NumSt177z0">
    <w:name w:val="WW8NumSt177z0"/>
    <w:qFormat/>
    <w:rPr>
      <w:rFonts w:ascii="Wingdings" w:hAnsi="Wingdings" w:cs="Wingdings"/>
      <w:sz w:val="28"/>
    </w:rPr>
  </w:style>
  <w:style w:type="character" w:styleId="WW8NumSt178z0">
    <w:name w:val="WW8NumSt178z0"/>
    <w:qFormat/>
    <w:rPr>
      <w:rFonts w:ascii="Wingdings" w:hAnsi="Wingdings" w:cs="Wingdings"/>
    </w:rPr>
  </w:style>
  <w:style w:type="character" w:styleId="WW8NumSt179z0">
    <w:name w:val="WW8NumSt179z0"/>
    <w:qFormat/>
    <w:rPr>
      <w:rFonts w:ascii="Wingdings" w:hAnsi="Wingdings" w:cs="Wingdings"/>
    </w:rPr>
  </w:style>
  <w:style w:type="character" w:styleId="WW8NumSt180z0">
    <w:name w:val="WW8NumSt180z0"/>
    <w:qFormat/>
    <w:rPr>
      <w:rFonts w:ascii="Wingdings" w:hAnsi="Wingdings" w:cs="Wingdings"/>
    </w:rPr>
  </w:style>
  <w:style w:type="character" w:styleId="WW8NumSt181z0">
    <w:name w:val="WW8NumSt181z0"/>
    <w:qFormat/>
    <w:rPr>
      <w:rFonts w:ascii="Wingdings" w:hAnsi="Wingdings" w:cs="Wingdings"/>
      <w:sz w:val="18"/>
    </w:rPr>
  </w:style>
  <w:style w:type="character" w:styleId="WW8NumSt207z0">
    <w:name w:val="WW8NumSt207z0"/>
    <w:qFormat/>
    <w:rPr>
      <w:rFonts w:ascii="Wingdings" w:hAnsi="Wingdings" w:cs="Wingdings"/>
    </w:rPr>
  </w:style>
  <w:style w:type="character" w:styleId="WW8NumSt208z0">
    <w:name w:val="WW8NumSt208z0"/>
    <w:qFormat/>
    <w:rPr>
      <w:rFonts w:ascii="Wingdings" w:hAnsi="Wingdings" w:cs="Wingdings"/>
      <w:b w:val="false"/>
      <w:i w:val="false"/>
      <w:sz w:val="12"/>
    </w:rPr>
  </w:style>
  <w:style w:type="character" w:styleId="WW8NumSt387z0">
    <w:name w:val="WW8NumSt387z0"/>
    <w:qFormat/>
    <w:rPr>
      <w:rFonts w:ascii="Times New Roman" w:hAnsi="Times New Roman" w:cs="Times New Roman"/>
      <w:sz w:val="24"/>
    </w:rPr>
  </w:style>
  <w:style w:type="character" w:styleId="DefaultParagraphFont">
    <w:name w:val="Default Paragraph Font"/>
    <w:qFormat/>
    <w:rPr/>
  </w:style>
  <w:style w:type="character" w:styleId="Hyperlink">
    <w:name w:val="Hyperlink"/>
    <w:basedOn w:val="DefaultParagraphFont"/>
    <w:rPr>
      <w:color w:val="0000FF"/>
      <w:u w:val="single"/>
    </w:rPr>
  </w:style>
  <w:style w:type="character" w:styleId="CommentReference">
    <w:name w:val="Comment Reference"/>
    <w:basedOn w:val="DefaultParagraphFont"/>
    <w:qFormat/>
    <w:rPr>
      <w:sz w:val="16"/>
    </w:rPr>
  </w:style>
  <w:style w:type="character" w:styleId="PageNumber">
    <w:name w:val="page number"/>
    <w:basedOn w:val="DefaultParagraphFont"/>
    <w:rPr>
      <w:rFonts w:ascii="Arial" w:hAnsi="Arial" w:cs="Arial"/>
      <w:b/>
      <w:sz w:val="18"/>
    </w:rPr>
  </w:style>
  <w:style w:type="character" w:styleId="FootnoteCharacters">
    <w:name w:val="Footnote Characters"/>
    <w:basedOn w:val="DefaultParagraphFont"/>
    <w:qFormat/>
    <w:rPr>
      <w:vertAlign w:val="superscrip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before="120" w:after="120"/>
      <w:ind w:hanging="0" w:start="2160" w:end="0"/>
    </w:pPr>
    <w:rPr>
      <w:rFonts w:ascii="Arial" w:hAnsi="Arial" w:cs="Arial"/>
    </w:rPr>
  </w:style>
  <w:style w:type="paragraph" w:styleId="List">
    <w:name w:val="List"/>
    <w:basedOn w:val="BodyText"/>
    <w:pPr/>
    <w:rPr>
      <w:rFonts w:cs="NotoSans NF"/>
    </w:rPr>
  </w:style>
  <w:style w:type="paragraph" w:styleId="Caption">
    <w:name w:val="caption"/>
    <w:basedOn w:val="Normal"/>
    <w:qFormat/>
    <w:pPr>
      <w:numPr>
        <w:ilvl w:val="0"/>
        <w:numId w:val="15"/>
      </w:numPr>
      <w:spacing w:before="40" w:after="0"/>
    </w:pPr>
    <w:rPr>
      <w:rFonts w:ascii="Arial" w:hAnsi="Arial" w:cs="Arial"/>
      <w:sz w:val="16"/>
    </w:rPr>
  </w:style>
  <w:style w:type="paragraph" w:styleId="Index">
    <w:name w:val="Index"/>
    <w:basedOn w:val="Normal"/>
    <w:qFormat/>
    <w:pPr>
      <w:suppressLineNumbers/>
    </w:pPr>
    <w:rPr>
      <w:rFonts w:cs="NotoSans NF"/>
    </w:rPr>
  </w:style>
  <w:style w:type="paragraph" w:styleId="A0b">
    <w:name w:val="A:0:b"/>
    <w:basedOn w:val="Normal"/>
    <w:qFormat/>
    <w:pPr>
      <w:numPr>
        <w:ilvl w:val="0"/>
        <w:numId w:val="6"/>
      </w:numPr>
      <w:spacing w:before="100" w:after="100"/>
    </w:pPr>
    <w:rPr>
      <w:rFonts w:ascii="Arial" w:hAnsi="Arial" w:cs="Arial"/>
    </w:rPr>
  </w:style>
  <w:style w:type="paragraph" w:styleId="A0bbox">
    <w:name w:val="A:0:bbox"/>
    <w:basedOn w:val="Normal"/>
    <w:qFormat/>
    <w:pPr>
      <w:numPr>
        <w:ilvl w:val="0"/>
        <w:numId w:val="3"/>
      </w:numPr>
      <w:spacing w:before="100" w:after="100"/>
    </w:pPr>
    <w:rPr>
      <w:rFonts w:ascii="Arial" w:hAnsi="Arial" w:cs="Arial"/>
    </w:rPr>
  </w:style>
  <w:style w:type="paragraph" w:styleId="B0bbox">
    <w:name w:val="B:0:bbox"/>
    <w:basedOn w:val="Normal"/>
    <w:qFormat/>
    <w:pPr>
      <w:numPr>
        <w:ilvl w:val="0"/>
        <w:numId w:val="9"/>
      </w:numPr>
      <w:spacing w:before="100" w:after="100"/>
      <w:ind w:hanging="360" w:start="2880" w:end="0"/>
    </w:pPr>
    <w:rPr>
      <w:rFonts w:ascii="Arial" w:hAnsi="Arial" w:cs="Arial"/>
    </w:rPr>
  </w:style>
  <w:style w:type="paragraph" w:styleId="B0n">
    <w:name w:val="B:0:n"/>
    <w:basedOn w:val="Normal"/>
    <w:qFormat/>
    <w:pPr>
      <w:numPr>
        <w:ilvl w:val="0"/>
        <w:numId w:val="8"/>
      </w:numPr>
      <w:spacing w:before="100" w:after="100"/>
      <w:ind w:hanging="360" w:start="0" w:end="0"/>
    </w:pPr>
    <w:rPr>
      <w:rFonts w:ascii="Arial" w:hAnsi="Arial" w:cs="Arial"/>
    </w:rPr>
  </w:style>
  <w:style w:type="paragraph" w:styleId="D1b">
    <w:name w:val="D:1:b"/>
    <w:basedOn w:val="Normal"/>
    <w:qFormat/>
    <w:pPr>
      <w:numPr>
        <w:ilvl w:val="0"/>
        <w:numId w:val="7"/>
      </w:numPr>
      <w:spacing w:before="100" w:after="100"/>
    </w:pPr>
    <w:rPr>
      <w:rFonts w:ascii="Arial" w:hAnsi="Arial" w:cs="Arial"/>
      <w:sz w:val="28"/>
    </w:rPr>
  </w:style>
  <w:style w:type="paragraph" w:styleId="Sub0b">
    <w:name w:val="Sub:0:b"/>
    <w:basedOn w:val="Normal"/>
    <w:qFormat/>
    <w:pPr>
      <w:numPr>
        <w:ilvl w:val="0"/>
        <w:numId w:val="13"/>
      </w:numPr>
      <w:tabs>
        <w:tab w:val="clear" w:pos="720"/>
      </w:tabs>
      <w:spacing w:before="240" w:after="120"/>
      <w:ind w:hanging="720" w:start="0" w:end="0"/>
    </w:pPr>
    <w:rPr>
      <w:rFonts w:ascii="Arial" w:hAnsi="Arial" w:cs="Arial"/>
      <w:b/>
      <w:sz w:val="24"/>
    </w:rPr>
  </w:style>
  <w:style w:type="paragraph" w:styleId="Note">
    <w:name w:val="Note"/>
    <w:basedOn w:val="Normal"/>
    <w:next w:val="Normal"/>
    <w:qFormat/>
    <w:pPr>
      <w:numPr>
        <w:ilvl w:val="0"/>
        <w:numId w:val="14"/>
      </w:numPr>
      <w:spacing w:before="40" w:after="0"/>
    </w:pPr>
    <w:rPr>
      <w:rFonts w:ascii="Arial" w:hAnsi="Arial" w:cs="Arial"/>
      <w:sz w:val="16"/>
    </w:rPr>
  </w:style>
  <w:style w:type="paragraph" w:styleId="Source">
    <w:name w:val="Source"/>
    <w:basedOn w:val="Normal"/>
    <w:next w:val="Normal"/>
    <w:qFormat/>
    <w:pPr>
      <w:numPr>
        <w:ilvl w:val="0"/>
        <w:numId w:val="12"/>
      </w:numPr>
      <w:spacing w:before="40" w:after="0"/>
    </w:pPr>
    <w:rPr>
      <w:rFonts w:ascii="Arial" w:hAnsi="Arial" w:cs="Arial"/>
      <w:sz w:val="16"/>
    </w:rPr>
  </w:style>
  <w:style w:type="paragraph" w:styleId="abullets">
    <w:name w:val="a:bullets"/>
    <w:basedOn w:val="Normal"/>
    <w:qFormat/>
    <w:pPr>
      <w:numPr>
        <w:ilvl w:val="0"/>
        <w:numId w:val="11"/>
      </w:numPr>
      <w:spacing w:before="240" w:after="0"/>
    </w:pPr>
    <w:rPr>
      <w:rFonts w:ascii="Arial" w:hAnsi="Arial" w:cs="Arial"/>
      <w:lang w:val="en-GB"/>
    </w:rPr>
  </w:style>
  <w:style w:type="paragraph" w:styleId="B1bbox">
    <w:name w:val="B:1:bbox"/>
    <w:basedOn w:val="Normal"/>
    <w:qFormat/>
    <w:pPr>
      <w:numPr>
        <w:ilvl w:val="0"/>
        <w:numId w:val="4"/>
      </w:numPr>
      <w:tabs>
        <w:tab w:val="clear" w:pos="720"/>
      </w:tabs>
      <w:spacing w:before="100" w:after="100"/>
    </w:pPr>
    <w:rPr>
      <w:rFonts w:ascii="Arial" w:hAnsi="Arial" w:cs="Arial"/>
      <w:sz w:val="28"/>
    </w:rPr>
  </w:style>
  <w:style w:type="paragraph" w:styleId="B1bboxA">
    <w:name w:val="B:1:bbox:A"/>
    <w:basedOn w:val="B1bbox"/>
    <w:qFormat/>
    <w:pPr>
      <w:numPr>
        <w:ilvl w:val="0"/>
        <w:numId w:val="10"/>
      </w:numPr>
      <w:tabs>
        <w:tab w:val="left" w:pos="1800" w:leader="none"/>
      </w:tabs>
      <w:ind w:hanging="0" w:start="1800" w:end="0"/>
    </w:pPr>
    <w:rPr/>
  </w:style>
  <w:style w:type="paragraph" w:styleId="Sec0">
    <w:name w:val="Sec:0"/>
    <w:basedOn w:val="Normal"/>
    <w:next w:val="Normal"/>
    <w:qFormat/>
    <w:pPr>
      <w:pageBreakBefore/>
      <w:spacing w:before="0" w:after="360"/>
    </w:pPr>
    <w:rPr>
      <w:rFonts w:ascii="Arial" w:hAnsi="Arial" w:cs="Arial"/>
      <w:b/>
      <w:sz w:val="36"/>
    </w:rPr>
  </w:style>
  <w:style w:type="paragraph" w:styleId="Sub0n">
    <w:name w:val="Sub:0:n"/>
    <w:basedOn w:val="Normal"/>
    <w:qFormat/>
    <w:pPr>
      <w:keepNext w:val="true"/>
      <w:spacing w:before="240" w:after="120"/>
    </w:pPr>
    <w:rPr>
      <w:rFonts w:ascii="Arial" w:hAnsi="Arial" w:cs="Arial"/>
      <w:b/>
      <w:sz w:val="24"/>
    </w:rPr>
  </w:style>
  <w:style w:type="paragraph" w:styleId="SecRN0">
    <w:name w:val="Sec:RN:0"/>
    <w:basedOn w:val="Sub0n"/>
    <w:qFormat/>
    <w:pPr>
      <w:ind w:hanging="720" w:start="720" w:end="0"/>
    </w:pPr>
    <w:rPr/>
  </w:style>
  <w:style w:type="paragraph" w:styleId="A0">
    <w:name w:val="A:0"/>
    <w:basedOn w:val="Normal"/>
    <w:qFormat/>
    <w:pPr>
      <w:spacing w:before="100" w:after="100"/>
      <w:ind w:hanging="0" w:start="1440" w:end="0"/>
    </w:pPr>
    <w:rPr>
      <w:rFonts w:ascii="Arial" w:hAnsi="Arial" w:cs="Arial"/>
    </w:rPr>
  </w:style>
  <w:style w:type="paragraph" w:styleId="Ttl0">
    <w:name w:val="Tt:l:0"/>
    <w:basedOn w:val="Normal"/>
    <w:qFormat/>
    <w:pPr>
      <w:spacing w:before="240" w:after="0"/>
    </w:pPr>
    <w:rPr>
      <w:rFonts w:ascii="Arial" w:hAnsi="Arial" w:cs="Arial"/>
      <w:b/>
      <w:sz w:val="28"/>
    </w:rPr>
  </w:style>
  <w:style w:type="paragraph" w:styleId="HdLet0">
    <w:name w:val="Hd:Let:0"/>
    <w:basedOn w:val="Sub0n"/>
    <w:qFormat/>
    <w:pPr>
      <w:ind w:hanging="720" w:start="1440" w:end="0"/>
    </w:pPr>
    <w:rPr/>
  </w:style>
  <w:style w:type="paragraph" w:styleId="Hidden">
    <w:name w:val="Hidden"/>
    <w:basedOn w:val="Normal"/>
    <w:qFormat/>
    <w:pPr/>
    <w:rPr>
      <w:rFonts w:ascii="Arial" w:hAnsi="Arial" w:cs="Arial"/>
      <w:b/>
      <w:vanish/>
      <w:color w:val="FF0000"/>
      <w:sz w:val="16"/>
    </w:rPr>
  </w:style>
  <w:style w:type="paragraph" w:styleId="Sub0">
    <w:name w:val="Sub:0"/>
    <w:basedOn w:val="Normal"/>
    <w:qFormat/>
    <w:pPr>
      <w:keepNext w:val="true"/>
      <w:spacing w:before="240" w:after="120"/>
      <w:ind w:hanging="0" w:start="1440" w:end="0"/>
    </w:pPr>
    <w:rPr>
      <w:rFonts w:ascii="Arial" w:hAnsi="Arial" w:cs="Arial"/>
      <w:b/>
      <w:sz w:val="24"/>
    </w:rPr>
  </w:style>
  <w:style w:type="paragraph" w:styleId="T0">
    <w:name w:val="T:0"/>
    <w:basedOn w:val="Normal"/>
    <w:qFormat/>
    <w:pPr>
      <w:spacing w:before="100" w:after="100"/>
    </w:pPr>
    <w:rPr>
      <w:rFonts w:ascii="Arial" w:hAnsi="Arial" w:cs="Arial"/>
    </w:rPr>
  </w:style>
  <w:style w:type="paragraph" w:styleId="Ttel1">
    <w:name w:val="Tt:el:1"/>
    <w:basedOn w:val="Normal"/>
    <w:qFormat/>
    <w:pPr>
      <w:spacing w:before="240" w:after="0"/>
    </w:pPr>
    <w:rPr>
      <w:rFonts w:ascii="Arial" w:hAnsi="Arial" w:cs="Arial"/>
      <w:b/>
      <w:sz w:val="28"/>
    </w:rPr>
  </w:style>
  <w:style w:type="paragraph" w:styleId="Tuel1">
    <w:name w:val="Tu:el:1"/>
    <w:basedOn w:val="Normal"/>
    <w:qFormat/>
    <w:pPr>
      <w:spacing w:before="0" w:after="20"/>
    </w:pPr>
    <w:rPr>
      <w:rFonts w:ascii="Arial" w:hAnsi="Arial" w:cs="Arial"/>
      <w:b/>
      <w:i/>
      <w:sz w:val="24"/>
    </w:rPr>
  </w:style>
  <w:style w:type="paragraph" w:styleId="TableHeadings">
    <w:name w:val="Table Headings"/>
    <w:basedOn w:val="Normal"/>
    <w:qFormat/>
    <w:pPr>
      <w:spacing w:before="36" w:after="36"/>
      <w:jc w:val="center"/>
    </w:pPr>
    <w:rPr>
      <w:rFonts w:ascii="Arial" w:hAnsi="Arial" w:cs="Arial"/>
      <w:caps/>
      <w:sz w:val="16"/>
    </w:rPr>
  </w:style>
  <w:style w:type="paragraph" w:styleId="Tnl0">
    <w:name w:val="Tn:l:0"/>
    <w:basedOn w:val="Normal"/>
    <w:qFormat/>
    <w:pPr>
      <w:spacing w:before="20" w:after="0"/>
      <w:ind w:hanging="720" w:start="720" w:end="0"/>
    </w:pPr>
    <w:rPr>
      <w:rFonts w:ascii="Arial" w:hAnsi="Arial" w:cs="Arial"/>
      <w:i/>
      <w:sz w:val="16"/>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rFonts w:ascii="Arial" w:hAnsi="Arial" w:cs="Arial"/>
    </w:rPr>
  </w:style>
  <w:style w:type="paragraph" w:styleId="CommentText">
    <w:name w:val="Comment Text"/>
    <w:basedOn w:val="Normal"/>
    <w:qFormat/>
    <w:pPr/>
    <w:rPr>
      <w:rFonts w:ascii="Arial" w:hAnsi="Arial" w:cs="Arial"/>
    </w:rPr>
  </w:style>
  <w:style w:type="paragraph" w:styleId="DocumentMap">
    <w:name w:val="Document Map"/>
    <w:basedOn w:val="Normal"/>
    <w:qFormat/>
    <w:pPr>
      <w:shd w:fill="000080" w:val="clear"/>
    </w:pPr>
    <w:rPr>
      <w:rFonts w:ascii="Tahoma" w:hAnsi="Tahoma" w:cs="Tahoma"/>
    </w:rPr>
  </w:style>
  <w:style w:type="paragraph" w:styleId="FootnoteText">
    <w:name w:val="footnote text"/>
    <w:basedOn w:val="Normal"/>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Num245">
    <w:name w:val="WW8Num245"/>
    <w:qFormat/>
  </w:style>
  <w:style w:type="numbering" w:styleId="WW8Num246">
    <w:name w:val="WW8Num246"/>
    <w:qFormat/>
  </w:style>
  <w:style w:type="numbering" w:styleId="WW8Num247">
    <w:name w:val="WW8Num247"/>
    <w:qFormat/>
  </w:style>
  <w:style w:type="numbering" w:styleId="WW8Num248">
    <w:name w:val="WW8Num248"/>
    <w:qFormat/>
  </w:style>
  <w:style w:type="numbering" w:styleId="WW8Num249">
    <w:name w:val="WW8Num249"/>
    <w:qFormat/>
  </w:style>
  <w:style w:type="numbering" w:styleId="WW8Num250">
    <w:name w:val="WW8Num250"/>
    <w:qFormat/>
  </w:style>
  <w:style w:type="numbering" w:styleId="WW8Num251">
    <w:name w:val="WW8Num251"/>
    <w:qFormat/>
  </w:style>
  <w:style w:type="numbering" w:styleId="WW8Num252">
    <w:name w:val="WW8Num252"/>
    <w:qFormat/>
  </w:style>
  <w:style w:type="numbering" w:styleId="WW8Num253">
    <w:name w:val="WW8Num253"/>
    <w:qFormat/>
  </w:style>
  <w:style w:type="numbering" w:styleId="WW8Num254">
    <w:name w:val="WW8Num254"/>
    <w:qFormat/>
  </w:style>
  <w:style w:type="numbering" w:styleId="WW8Num255">
    <w:name w:val="WW8Num255"/>
    <w:qFormat/>
  </w:style>
  <w:style w:type="numbering" w:styleId="WW8Num256">
    <w:name w:val="WW8Num256"/>
    <w:qFormat/>
  </w:style>
  <w:style w:type="numbering" w:styleId="WW8Num257">
    <w:name w:val="WW8Num257"/>
    <w:qFormat/>
  </w:style>
  <w:style w:type="numbering" w:styleId="WW8Num258">
    <w:name w:val="WW8Num258"/>
    <w:qFormat/>
  </w:style>
  <w:style w:type="numbering" w:styleId="WW8Num259">
    <w:name w:val="WW8Num259"/>
    <w:qFormat/>
  </w:style>
  <w:style w:type="numbering" w:styleId="WW8Num260">
    <w:name w:val="WW8Num260"/>
    <w:qFormat/>
  </w:style>
  <w:style w:type="numbering" w:styleId="WW8Num261">
    <w:name w:val="WW8Num261"/>
    <w:qFormat/>
  </w:style>
  <w:style w:type="numbering" w:styleId="WW8Num262">
    <w:name w:val="WW8Num262"/>
    <w:qFormat/>
  </w:style>
  <w:style w:type="numbering" w:styleId="WW8Num263">
    <w:name w:val="WW8Num263"/>
    <w:qFormat/>
  </w:style>
  <w:style w:type="numbering" w:styleId="WW8Num264">
    <w:name w:val="WW8Num264"/>
    <w:qFormat/>
  </w:style>
  <w:style w:type="numbering" w:styleId="WW8Num265">
    <w:name w:val="WW8Num265"/>
    <w:qFormat/>
  </w:style>
  <w:style w:type="numbering" w:styleId="WW8Num266">
    <w:name w:val="WW8Num266"/>
    <w:qFormat/>
  </w:style>
  <w:style w:type="numbering" w:styleId="WW8Num267">
    <w:name w:val="WW8Num267"/>
    <w:qFormat/>
  </w:style>
  <w:style w:type="numbering" w:styleId="WW8Num268">
    <w:name w:val="WW8Num268"/>
    <w:qFormat/>
  </w:style>
  <w:style w:type="numbering" w:styleId="WW8Num269">
    <w:name w:val="WW8Num269"/>
    <w:qFormat/>
  </w:style>
  <w:style w:type="numbering" w:styleId="WW8Num270">
    <w:name w:val="WW8Num270"/>
    <w:qFormat/>
  </w:style>
  <w:style w:type="numbering" w:styleId="WW8Num271">
    <w:name w:val="WW8Num271"/>
    <w:qFormat/>
  </w:style>
  <w:style w:type="numbering" w:styleId="WW8Num272">
    <w:name w:val="WW8Num272"/>
    <w:qFormat/>
  </w:style>
  <w:style w:type="numbering" w:styleId="WW8Num273">
    <w:name w:val="WW8Num273"/>
    <w:qFormat/>
  </w:style>
  <w:style w:type="numbering" w:styleId="WW8Num274">
    <w:name w:val="WW8Num274"/>
    <w:qFormat/>
  </w:style>
  <w:style w:type="numbering" w:styleId="WW8Num275">
    <w:name w:val="WW8Num275"/>
    <w:qFormat/>
  </w:style>
  <w:style w:type="numbering" w:styleId="WW8Num276">
    <w:name w:val="WW8Num276"/>
    <w:qFormat/>
  </w:style>
  <w:style w:type="numbering" w:styleId="WW8Num277">
    <w:name w:val="WW8Num277"/>
    <w:qFormat/>
  </w:style>
  <w:style w:type="numbering" w:styleId="WW8Num278">
    <w:name w:val="WW8Num278"/>
    <w:qFormat/>
  </w:style>
  <w:style w:type="numbering" w:styleId="WW8Num279">
    <w:name w:val="WW8Num279"/>
    <w:qFormat/>
  </w:style>
  <w:style w:type="numbering" w:styleId="WW8Num280">
    <w:name w:val="WW8Num280"/>
    <w:qFormat/>
  </w:style>
  <w:style w:type="numbering" w:styleId="WW8Num281">
    <w:name w:val="WW8Num281"/>
    <w:qFormat/>
  </w:style>
  <w:style w:type="numbering" w:styleId="WW8Num282">
    <w:name w:val="WW8Num282"/>
    <w:qFormat/>
  </w:style>
  <w:style w:type="numbering" w:styleId="WW8Num283">
    <w:name w:val="WW8Num283"/>
    <w:qFormat/>
  </w:style>
  <w:style w:type="numbering" w:styleId="WW8Num284">
    <w:name w:val="WW8Num284"/>
    <w:qFormat/>
  </w:style>
  <w:style w:type="numbering" w:styleId="WW8Num285">
    <w:name w:val="WW8Num285"/>
    <w:qFormat/>
  </w:style>
  <w:style w:type="numbering" w:styleId="WW8Num286">
    <w:name w:val="WW8Num286"/>
    <w:qFormat/>
  </w:style>
  <w:style w:type="numbering" w:styleId="WW8Num287">
    <w:name w:val="WW8Num287"/>
    <w:qFormat/>
  </w:style>
  <w:style w:type="numbering" w:styleId="WW8Num288">
    <w:name w:val="WW8Num288"/>
    <w:qFormat/>
  </w:style>
  <w:style w:type="numbering" w:styleId="WW8Num289">
    <w:name w:val="WW8Num289"/>
    <w:qFormat/>
  </w:style>
  <w:style w:type="numbering" w:styleId="WW8Num290">
    <w:name w:val="WW8Num290"/>
    <w:qFormat/>
  </w:style>
  <w:style w:type="numbering" w:styleId="WW8Num291">
    <w:name w:val="WW8Num291"/>
    <w:qFormat/>
  </w:style>
  <w:style w:type="numbering" w:styleId="WW8Num292">
    <w:name w:val="WW8Num292"/>
    <w:qFormat/>
  </w:style>
  <w:style w:type="numbering" w:styleId="WW8Num293">
    <w:name w:val="WW8Num293"/>
    <w:qFormat/>
  </w:style>
  <w:style w:type="numbering" w:styleId="WW8Num294">
    <w:name w:val="WW8Num294"/>
    <w:qFormat/>
  </w:style>
  <w:style w:type="numbering" w:styleId="WW8Num295">
    <w:name w:val="WW8Num295"/>
    <w:qFormat/>
  </w:style>
  <w:style w:type="numbering" w:styleId="WW8Num296">
    <w:name w:val="WW8Num296"/>
    <w:qFormat/>
  </w:style>
  <w:style w:type="numbering" w:styleId="WW8Num297">
    <w:name w:val="WW8Num297"/>
    <w:qFormat/>
  </w:style>
  <w:style w:type="numbering" w:styleId="WW8Num298">
    <w:name w:val="WW8Num298"/>
    <w:qFormat/>
  </w:style>
  <w:style w:type="numbering" w:styleId="WW8Num299">
    <w:name w:val="WW8Num299"/>
    <w:qFormat/>
  </w:style>
  <w:style w:type="numbering" w:styleId="WW8Num300">
    <w:name w:val="WW8Num300"/>
    <w:qFormat/>
  </w:style>
  <w:style w:type="numbering" w:styleId="WW8Num301">
    <w:name w:val="WW8Num301"/>
    <w:qFormat/>
  </w:style>
  <w:style w:type="numbering" w:styleId="WW8Num302">
    <w:name w:val="WW8Num302"/>
    <w:qFormat/>
  </w:style>
  <w:style w:type="numbering" w:styleId="WW8Num303">
    <w:name w:val="WW8Num303"/>
    <w:qFormat/>
  </w:style>
  <w:style w:type="numbering" w:styleId="WW8Num304">
    <w:name w:val="WW8Num304"/>
    <w:qFormat/>
  </w:style>
  <w:style w:type="numbering" w:styleId="WW8Num305">
    <w:name w:val="WW8Num305"/>
    <w:qFormat/>
  </w:style>
  <w:style w:type="numbering" w:styleId="WW8Num306">
    <w:name w:val="WW8Num306"/>
    <w:qFormat/>
  </w:style>
  <w:style w:type="numbering" w:styleId="WW8Num307">
    <w:name w:val="WW8Num307"/>
    <w:qFormat/>
  </w:style>
  <w:style w:type="numbering" w:styleId="WW8Num308">
    <w:name w:val="WW8Num308"/>
    <w:qFormat/>
  </w:style>
  <w:style w:type="numbering" w:styleId="WW8Num309">
    <w:name w:val="WW8Num309"/>
    <w:qFormat/>
  </w:style>
  <w:style w:type="numbering" w:styleId="WW8Num310">
    <w:name w:val="WW8Num310"/>
    <w:qFormat/>
  </w:style>
  <w:style w:type="numbering" w:styleId="WW8Num311">
    <w:name w:val="WW8Num311"/>
    <w:qFormat/>
  </w:style>
  <w:style w:type="numbering" w:styleId="WW8Num312">
    <w:name w:val="WW8Num312"/>
    <w:qFormat/>
  </w:style>
  <w:style w:type="numbering" w:styleId="WW8Num313">
    <w:name w:val="WW8Num313"/>
    <w:qFormat/>
  </w:style>
  <w:style w:type="numbering" w:styleId="WW8Num314">
    <w:name w:val="WW8Num314"/>
    <w:qFormat/>
  </w:style>
  <w:style w:type="numbering" w:styleId="WW8Num315">
    <w:name w:val="WW8Num315"/>
    <w:qFormat/>
  </w:style>
  <w:style w:type="numbering" w:styleId="WW8Num316">
    <w:name w:val="WW8Num316"/>
    <w:qFormat/>
  </w:style>
  <w:style w:type="numbering" w:styleId="WW8Num317">
    <w:name w:val="WW8Num317"/>
    <w:qFormat/>
  </w:style>
  <w:style w:type="numbering" w:styleId="WW8Num318">
    <w:name w:val="WW8Num318"/>
    <w:qFormat/>
  </w:style>
  <w:style w:type="numbering" w:styleId="WW8Num319">
    <w:name w:val="WW8Num319"/>
    <w:qFormat/>
  </w:style>
  <w:style w:type="numbering" w:styleId="WW8Num320">
    <w:name w:val="WW8Num320"/>
    <w:qFormat/>
  </w:style>
  <w:style w:type="numbering" w:styleId="WW8Num321">
    <w:name w:val="WW8Num321"/>
    <w:qFormat/>
  </w:style>
  <w:style w:type="numbering" w:styleId="WW8Num322">
    <w:name w:val="WW8Num322"/>
    <w:qFormat/>
  </w:style>
  <w:style w:type="numbering" w:styleId="WW8Num323">
    <w:name w:val="WW8Num323"/>
    <w:qFormat/>
  </w:style>
  <w:style w:type="numbering" w:styleId="WW8Num324">
    <w:name w:val="WW8Num324"/>
    <w:qFormat/>
  </w:style>
  <w:style w:type="numbering" w:styleId="WW8Num325">
    <w:name w:val="WW8Num325"/>
    <w:qFormat/>
  </w:style>
  <w:style w:type="numbering" w:styleId="WW8Num326">
    <w:name w:val="WW8Num326"/>
    <w:qFormat/>
  </w:style>
  <w:style w:type="numbering" w:styleId="WW8Num327">
    <w:name w:val="WW8Num327"/>
    <w:qFormat/>
  </w:style>
  <w:style w:type="numbering" w:styleId="WW8Num328">
    <w:name w:val="WW8Num328"/>
    <w:qFormat/>
  </w:style>
  <w:style w:type="numbering" w:styleId="WW8Num329">
    <w:name w:val="WW8Num329"/>
    <w:qFormat/>
  </w:style>
  <w:style w:type="numbering" w:styleId="WW8Num330">
    <w:name w:val="WW8Num330"/>
    <w:qFormat/>
  </w:style>
  <w:style w:type="numbering" w:styleId="WW8Num331">
    <w:name w:val="WW8Num331"/>
    <w:qFormat/>
  </w:style>
  <w:style w:type="numbering" w:styleId="WW8Num332">
    <w:name w:val="WW8Num332"/>
    <w:qFormat/>
  </w:style>
  <w:style w:type="numbering" w:styleId="WW8Num333">
    <w:name w:val="WW8Num333"/>
    <w:qFormat/>
  </w:style>
  <w:style w:type="numbering" w:styleId="WW8Num334">
    <w:name w:val="WW8Num334"/>
    <w:qFormat/>
  </w:style>
  <w:style w:type="numbering" w:styleId="WW8Num335">
    <w:name w:val="WW8Num335"/>
    <w:qFormat/>
  </w:style>
  <w:style w:type="numbering" w:styleId="WW8Num336">
    <w:name w:val="WW8Num336"/>
    <w:qFormat/>
  </w:style>
  <w:style w:type="numbering" w:styleId="WW8Num337">
    <w:name w:val="WW8Num337"/>
    <w:qFormat/>
  </w:style>
  <w:style w:type="numbering" w:styleId="WW8Num338">
    <w:name w:val="WW8Num338"/>
    <w:qFormat/>
  </w:style>
  <w:style w:type="numbering" w:styleId="WW8Num339">
    <w:name w:val="WW8Num339"/>
    <w:qFormat/>
  </w:style>
  <w:style w:type="numbering" w:styleId="WW8Num340">
    <w:name w:val="WW8Num340"/>
    <w:qFormat/>
  </w:style>
  <w:style w:type="numbering" w:styleId="WW8Num341">
    <w:name w:val="WW8Num341"/>
    <w:qFormat/>
  </w:style>
  <w:style w:type="numbering" w:styleId="WW8Num342">
    <w:name w:val="WW8Num342"/>
    <w:qFormat/>
  </w:style>
  <w:style w:type="numbering" w:styleId="WW8Num343">
    <w:name w:val="WW8Num343"/>
    <w:qFormat/>
  </w:style>
  <w:style w:type="numbering" w:styleId="WW8Num344">
    <w:name w:val="WW8Num344"/>
    <w:qFormat/>
  </w:style>
  <w:style w:type="numbering" w:styleId="WW8Num345">
    <w:name w:val="WW8Num345"/>
    <w:qFormat/>
  </w:style>
  <w:style w:type="numbering" w:styleId="WW8Num346">
    <w:name w:val="WW8Num346"/>
    <w:qFormat/>
  </w:style>
  <w:style w:type="numbering" w:styleId="WW8Num347">
    <w:name w:val="WW8Num34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image" Target="media/image2.wmf"/><Relationship Id="rId4" Type="http://schemas.openxmlformats.org/officeDocument/2006/relationships/oleObject" Target="embeddings/oleObject1.bin"/><Relationship Id="rId5" Type="http://schemas.openxmlformats.org/officeDocument/2006/relationships/image" Target="media/image3.png"/><Relationship Id="rId6" Type="http://schemas.openxmlformats.org/officeDocument/2006/relationships/image" Target="media/image4.wmf"/><Relationship Id="rId7" Type="http://schemas.openxmlformats.org/officeDocument/2006/relationships/hyperlink" Target="../../../../../ProjFin/yellen/990920095.xls" TargetMode="External"/><Relationship Id="rId8" Type="http://schemas.openxmlformats.org/officeDocument/2006/relationships/image" Target="media/image5.wmf"/><Relationship Id="rId9" Type="http://schemas.openxmlformats.org/officeDocument/2006/relationships/hyperlink" Target="../../../../../ProjFin/yellen/990920095.xls" TargetMode="External"/><Relationship Id="rId10" Type="http://schemas.openxmlformats.org/officeDocument/2006/relationships/image" Target="media/image6.png"/><Relationship Id="rId11" Type="http://schemas.openxmlformats.org/officeDocument/2006/relationships/image" Target="media/image7.wmf"/><Relationship Id="rId12" Type="http://schemas.openxmlformats.org/officeDocument/2006/relationships/image" Target="media/image8.png"/><Relationship Id="rId13" Type="http://schemas.openxmlformats.org/officeDocument/2006/relationships/image" Target="media/image9.wmf"/><Relationship Id="rId14" Type="http://schemas.openxmlformats.org/officeDocument/2006/relationships/hyperlink" Target="../../../../../ProjFin/yellen/990920095.xls" TargetMode="External"/><Relationship Id="rId15" Type="http://schemas.openxmlformats.org/officeDocument/2006/relationships/hyperlink" Target="../../../../../ProjFin/yellen/990920095.xls" TargetMode="External"/><Relationship Id="rId16" Type="http://schemas.openxmlformats.org/officeDocument/2006/relationships/image" Target="media/image10.wmf"/><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package" Target="embeddings/oleObject2.pptx"/><Relationship Id="rId20" Type="http://schemas.openxmlformats.org/officeDocument/2006/relationships/image" Target="media/image11.wmf"/><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image" Target="media/image12.wmf"/><Relationship Id="rId24" Type="http://schemas.openxmlformats.org/officeDocument/2006/relationships/image" Target="media/image13.png"/><Relationship Id="rId25" Type="http://schemas.openxmlformats.org/officeDocument/2006/relationships/hyperlink" Target="../../../../../ProjFin/yellen/990920095.xls" TargetMode="External"/><Relationship Id="rId26" Type="http://schemas.openxmlformats.org/officeDocument/2006/relationships/image" Target="media/image14.wmf"/><Relationship Id="rId27" Type="http://schemas.openxmlformats.org/officeDocument/2006/relationships/hyperlink" Target="../../../../../ProjFin/yellen/990920095.xls" TargetMode="External"/><Relationship Id="rId28" Type="http://schemas.openxmlformats.org/officeDocument/2006/relationships/image" Target="media/image15.wmf"/><Relationship Id="rId29" Type="http://schemas.openxmlformats.org/officeDocument/2006/relationships/image" Target="media/image16.wmf"/><Relationship Id="rId30" Type="http://schemas.openxmlformats.org/officeDocument/2006/relationships/image" Target="media/image17.wmf"/><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header" Target="header6.xml"/><Relationship Id="rId34" Type="http://schemas.openxmlformats.org/officeDocument/2006/relationships/header" Target="header7.xml"/><Relationship Id="rId35" Type="http://schemas.openxmlformats.org/officeDocument/2006/relationships/comments" Target="comments.xm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wmf"/>
</Relationships>
</file>

<file path=word/_rels/header2.xml.rels><?xml version="1.0" encoding="UTF-8"?>
<Relationships xmlns="http://schemas.openxmlformats.org/package/2006/relationships"><Relationship Id="rId1" Type="http://schemas.openxmlformats.org/officeDocument/2006/relationships/image" Target="media/image1.wmf"/>
</Relationships>
</file>

<file path=word/_rels/header4.xml.rels><?xml version="1.0" encoding="UTF-8"?>
<Relationships xmlns="http://schemas.openxmlformats.org/package/2006/relationships"><Relationship Id="rId1" Type="http://schemas.openxmlformats.org/officeDocument/2006/relationships/image" Target="media/image1.wmf"/>
</Relationships>
</file>

<file path=word/_rels/header6.xml.rels><?xml version="1.0" encoding="UTF-8"?>
<Relationships xmlns="http://schemas.openxmlformats.org/package/2006/relationships"><Relationship Id="rId1" Type="http://schemas.openxmlformats.org/officeDocument/2006/relationships/image" Target="media/image1.wm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17</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2000-05-16T20:21:00Z</dcterms:created>
  <dc:creator>Rishi Modi</dc:creator>
  <dc:description/>
  <dc:language>en-CA</dc:language>
  <cp:lastModifiedBy>EUS</cp:lastModifiedBy>
  <cp:lastPrinted>2000-05-11T16:48:00Z</cp:lastPrinted>
  <dcterms:modified xsi:type="dcterms:W3CDTF">2000-05-16T22:38:00Z</dcterms:modified>
  <cp:revision>4</cp:revision>
  <dc:subject/>
  <dc:title>The Power Markets</dc:title>
</cp:coreProperties>
</file>