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0"/>
        <w:rPr>
          <w:rFonts w:ascii="Arial" w:hAnsi="Arial" w:cs="Arial"/>
        </w:rPr>
      </w:pPr>
      <w:r>
        <w:rPr>
          <w:rFonts w:cs="Arial" w:ascii="Arial" w:hAnsi="Arial"/>
        </w:rPr>
        <w:t>March 7, 2001</w:t>
        <w:tab/>
        <w:tab/>
        <w:tab/>
        <w:tab/>
        <w:tab/>
        <w:tab/>
        <w:tab/>
        <w:tab/>
        <w:tab/>
        <w:tab/>
        <w:t>SW/Y2KF-099</w:t>
      </w:r>
    </w:p>
    <w:p>
      <w:pPr>
        <w:pStyle w:val="0"/>
        <w:rPr>
          <w:rFonts w:ascii="Arial" w:hAnsi="Arial" w:cs="Arial"/>
        </w:rPr>
      </w:pPr>
      <w:r>
        <w:rPr>
          <w:rFonts w:cs="Arial" w:ascii="Arial" w:hAnsi="Arial"/>
        </w:rPr>
        <w:tab/>
        <w:tab/>
        <w:tab/>
        <w:tab/>
        <w:tab/>
        <w:tab/>
        <w:tab/>
        <w:tab/>
        <w:tab/>
        <w:tab/>
        <w:tab/>
        <w:t>File 010A</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Mitch Robinson</w:t>
      </w:r>
    </w:p>
    <w:p>
      <w:pPr>
        <w:pStyle w:val="0"/>
        <w:rPr>
          <w:rFonts w:ascii="Arial" w:hAnsi="Arial" w:cs="Arial"/>
        </w:rPr>
      </w:pPr>
      <w:r>
        <w:rPr>
          <w:rFonts w:cs="Arial" w:ascii="Arial" w:hAnsi="Arial"/>
        </w:rPr>
        <w:t>Director of Assets</w:t>
      </w:r>
    </w:p>
    <w:p>
      <w:pPr>
        <w:pStyle w:val="0"/>
        <w:rPr>
          <w:rFonts w:ascii="Arial" w:hAnsi="Arial" w:cs="Arial"/>
        </w:rPr>
      </w:pPr>
      <w:r>
        <w:rPr>
          <w:rFonts w:cs="Arial" w:ascii="Arial" w:hAnsi="Arial"/>
        </w:rPr>
        <w:t>Enron North America</w:t>
      </w:r>
    </w:p>
    <w:p>
      <w:pPr>
        <w:pStyle w:val="0"/>
        <w:rPr>
          <w:rFonts w:ascii="Arial" w:hAnsi="Arial" w:cs="Arial"/>
        </w:rPr>
      </w:pPr>
      <w:r>
        <w:rPr>
          <w:rFonts w:cs="Arial" w:ascii="Arial" w:hAnsi="Arial"/>
        </w:rPr>
        <w:t>1400 Smith Street</w:t>
      </w:r>
    </w:p>
    <w:p>
      <w:pPr>
        <w:pStyle w:val="0"/>
        <w:rPr>
          <w:rFonts w:ascii="Arial" w:hAnsi="Arial" w:cs="Arial"/>
        </w:rPr>
      </w:pPr>
      <w:r>
        <w:rPr>
          <w:rFonts w:cs="Arial" w:ascii="Arial" w:hAnsi="Arial"/>
        </w:rPr>
        <w:t>Houston, TX  77002-7361</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Subject:  Agreement Between Enron North America (“ENA”) and Siemens Westinghouse Power</w:t>
      </w:r>
    </w:p>
    <w:p>
      <w:pPr>
        <w:pStyle w:val="0"/>
        <w:ind w:firstLine="720" w:end="0"/>
        <w:rPr>
          <w:rFonts w:ascii="Arial" w:hAnsi="Arial" w:cs="Arial"/>
        </w:rPr>
      </w:pPr>
      <w:r>
        <w:rPr>
          <w:rFonts w:eastAsia="Arial" w:cs="Arial" w:ascii="Arial" w:hAnsi="Arial"/>
        </w:rPr>
        <w:t xml:space="preserve">   </w:t>
      </w:r>
      <w:r>
        <w:rPr>
          <w:rFonts w:cs="Arial" w:ascii="Arial" w:hAnsi="Arial"/>
        </w:rPr>
        <w:t xml:space="preserve">Corporation (“SWPC”) Regarding Gross Power Limits for Combustion Turbine at the </w:t>
      </w:r>
    </w:p>
    <w:p>
      <w:pPr>
        <w:pStyle w:val="0"/>
        <w:ind w:firstLine="720" w:end="0"/>
        <w:rPr>
          <w:rFonts w:ascii="Arial" w:hAnsi="Arial" w:cs="Arial"/>
        </w:rPr>
      </w:pPr>
      <w:r>
        <w:rPr>
          <w:rFonts w:eastAsia="Arial" w:cs="Arial" w:ascii="Arial" w:hAnsi="Arial"/>
        </w:rPr>
        <w:t xml:space="preserve">   </w:t>
      </w:r>
      <w:r>
        <w:rPr>
          <w:rFonts w:cs="Arial" w:ascii="Arial" w:hAnsi="Arial"/>
        </w:rPr>
        <w:t>Gleason Site</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Dear Mr. Robinson:</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This letter confirms our verbal understanding with ENA.  As discussed, SWPC agrees to the following:</w:t>
      </w:r>
    </w:p>
    <w:p>
      <w:pPr>
        <w:pStyle w:val="0"/>
        <w:rPr>
          <w:rFonts w:ascii="Arial" w:hAnsi="Arial" w:cs="Arial"/>
        </w:rPr>
      </w:pPr>
      <w:r>
        <w:rPr>
          <w:rFonts w:cs="Arial" w:ascii="Arial" w:hAnsi="Arial"/>
        </w:rPr>
      </w:r>
    </w:p>
    <w:p>
      <w:pPr>
        <w:pStyle w:val="0"/>
        <w:numPr>
          <w:ilvl w:val="0"/>
          <w:numId w:val="2"/>
        </w:numPr>
        <w:rPr>
          <w:rFonts w:ascii="Arial" w:hAnsi="Arial" w:cs="Arial"/>
        </w:rPr>
      </w:pPr>
      <w:r>
        <w:rPr>
          <w:rFonts w:cs="Arial" w:ascii="Arial" w:hAnsi="Arial"/>
        </w:rPr>
        <w:t>SWPC will adjust the control limits on each of the Combustion Turbines at Enron’s Gleason facility to permit a maximum operating capability (shaft limit) of 185,000 Kw.</w:t>
      </w:r>
    </w:p>
    <w:p>
      <w:pPr>
        <w:pStyle w:val="0"/>
        <w:numPr>
          <w:ilvl w:val="0"/>
          <w:numId w:val="2"/>
        </w:numPr>
        <w:rPr>
          <w:rFonts w:ascii="Arial" w:hAnsi="Arial" w:cs="Arial"/>
        </w:rPr>
      </w:pPr>
      <w:r>
        <w:rPr>
          <w:rFonts w:cs="Arial" w:ascii="Arial" w:hAnsi="Arial"/>
        </w:rPr>
        <w:t>SWPC agrees that operation up to and including 185,000 Kw is within the maximum operating capability (shaft limit) for the Combustion Turbines, S.N.’s 37A8009, 37A8046 and 37A8049 at the Gleason facility and that operation at this level will not invalidate the warranty.</w:t>
      </w:r>
    </w:p>
    <w:p>
      <w:pPr>
        <w:pStyle w:val="0"/>
        <w:numPr>
          <w:ilvl w:val="0"/>
          <w:numId w:val="2"/>
        </w:numPr>
        <w:rPr>
          <w:rFonts w:ascii="Arial" w:hAnsi="Arial" w:cs="Arial"/>
        </w:rPr>
      </w:pPr>
      <w:r>
        <w:rPr>
          <w:rFonts w:cs="Arial" w:ascii="Arial" w:hAnsi="Arial"/>
        </w:rPr>
        <w:t>SWPC agrees that the Brownsville, Gleason and Wheatland contracts and associated warranties may be assigned to limited liability companies owned in whole or in part by an Enron entity pursuant to the terms and conditions of the Gleason and Wheatland contracts, and that Enron will not be required to maintain an equity position in these companies.  SWPC further acknowledges that the assignment of the contracts and the transfer of equity will not impact any warranties or other provisions of the assigned contracts.</w:t>
      </w:r>
    </w:p>
    <w:p>
      <w:pPr>
        <w:pStyle w:val="0"/>
        <w:numPr>
          <w:ilvl w:val="0"/>
          <w:numId w:val="2"/>
        </w:numPr>
        <w:rPr>
          <w:rFonts w:ascii="Arial" w:hAnsi="Arial" w:cs="Arial"/>
        </w:rPr>
      </w:pPr>
      <w:r>
        <w:rPr>
          <w:rFonts w:cs="Arial" w:ascii="Arial" w:hAnsi="Arial"/>
        </w:rPr>
        <w:t>SWPC agrees to assist Enron in providing technical information (including copies of the turbine purchase contracts, as edited in the sole discretion of SWPC, and any relevant bulletins) to certain third parties for a period of twelve (12) months after the complete execution of this agreement as required for the sale of the Gleason, Wheatland and Brownsville facilities.  Prior to closing on the sale of each facility, this information will be limited to information which is currently available to Enron, is of a technical nature only, and shall be used solely for the purpose contemplated herein.  Nothing in this agreement shall require SWPC to disclose information it otherwise wishes to withhold.  The information will be supplied to no more than three potential buyers per facility.  As a condition of release, the third parties will be required to execute confidentiality agreements furnished by SWPC.</w:t>
      </w:r>
    </w:p>
    <w:p>
      <w:pPr>
        <w:pStyle w:val="0"/>
        <w:numPr>
          <w:ilvl w:val="0"/>
          <w:numId w:val="2"/>
        </w:numPr>
        <w:rPr>
          <w:rFonts w:ascii="Arial" w:hAnsi="Arial" w:cs="Arial"/>
        </w:rPr>
      </w:pPr>
      <w:r>
        <w:rPr>
          <w:rFonts w:cs="Arial" w:ascii="Arial" w:hAnsi="Arial"/>
        </w:rPr>
        <w:t>SWPC agrees that this letter can be released to potential purchasers of the Gleason and Wheatland facilities.</w:t>
      </w:r>
      <w:r>
        <w:br w:type="page"/>
      </w:r>
    </w:p>
    <w:p>
      <w:pPr>
        <w:pStyle w:val="0"/>
        <w:rPr>
          <w:rFonts w:ascii="Arial" w:hAnsi="Arial" w:cs="Arial"/>
        </w:rPr>
      </w:pPr>
      <w:r>
        <w:rPr>
          <w:rFonts w:cs="Arial" w:ascii="Arial" w:hAnsi="Arial"/>
        </w:rPr>
        <w:t>Mitch Robinson</w:t>
      </w:r>
    </w:p>
    <w:p>
      <w:pPr>
        <w:pStyle w:val="0"/>
        <w:rPr>
          <w:rFonts w:ascii="Arial" w:hAnsi="Arial" w:cs="Arial"/>
        </w:rPr>
      </w:pPr>
      <w:r>
        <w:rPr>
          <w:rFonts w:cs="Arial" w:ascii="Arial" w:hAnsi="Arial"/>
        </w:rPr>
        <w:t>March 7, 2001</w:t>
      </w:r>
    </w:p>
    <w:p>
      <w:pPr>
        <w:pStyle w:val="0"/>
        <w:rPr>
          <w:rFonts w:ascii="Arial" w:hAnsi="Arial" w:cs="Arial"/>
        </w:rPr>
      </w:pPr>
      <w:r>
        <w:rPr>
          <w:rFonts w:cs="Arial" w:ascii="Arial" w:hAnsi="Arial"/>
        </w:rPr>
        <w:t>Page 2</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r>
    </w:p>
    <w:p>
      <w:pPr>
        <w:pStyle w:val="0"/>
        <w:numPr>
          <w:ilvl w:val="0"/>
          <w:numId w:val="2"/>
        </w:numPr>
        <w:rPr>
          <w:rFonts w:ascii="Arial" w:hAnsi="Arial" w:cs="Arial"/>
        </w:rPr>
      </w:pPr>
      <w:r>
        <w:rPr>
          <w:rFonts w:cs="Arial" w:ascii="Arial" w:hAnsi="Arial"/>
        </w:rPr>
        <w:t>This letter agreement enures to the benefit of the purchaser under the Gleason and Wheatland contracts, their successors and assigns.</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Sincerely,</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r>
    </w:p>
    <w:p>
      <w:pPr>
        <w:pStyle w:val="0"/>
        <w:rPr>
          <w:rFonts w:ascii="Arial" w:hAnsi="Arial" w:cs="Arial"/>
        </w:rPr>
      </w:pPr>
      <w:r>
        <w:rPr>
          <w:rFonts w:cs="Arial" w:ascii="Arial" w:hAnsi="Arial"/>
        </w:rPr>
      </w:r>
    </w:p>
    <w:p>
      <w:pPr>
        <w:pStyle w:val="0"/>
        <w:rPr>
          <w:rFonts w:ascii="Arial" w:hAnsi="Arial" w:cs="Arial"/>
        </w:rPr>
      </w:pPr>
      <w:r>
        <w:rPr>
          <w:rFonts w:cs="Arial" w:ascii="Arial" w:hAnsi="Arial"/>
        </w:rPr>
        <w:t>Lynn DeKrey</w:t>
      </w:r>
    </w:p>
    <w:p>
      <w:pPr>
        <w:pStyle w:val="0"/>
        <w:rPr>
          <w:rFonts w:ascii="Arial" w:hAnsi="Arial" w:cs="Arial"/>
        </w:rPr>
      </w:pPr>
      <w:r>
        <w:rPr>
          <w:rFonts w:cs="Arial" w:ascii="Arial" w:hAnsi="Arial"/>
        </w:rPr>
        <w:t>Project Manager</w:t>
      </w:r>
    </w:p>
    <w:p>
      <w:pPr>
        <w:pStyle w:val="0"/>
        <w:rPr>
          <w:rFonts w:ascii="Arial" w:hAnsi="Arial" w:cs="Arial"/>
        </w:rPr>
      </w:pPr>
      <w:r>
        <w:rPr>
          <w:rFonts w:cs="Arial" w:ascii="Arial" w:hAnsi="Arial"/>
        </w:rPr>
      </w:r>
    </w:p>
    <w:p>
      <w:pPr>
        <w:pStyle w:val="0"/>
        <w:rPr>
          <w:rFonts w:ascii="Arial" w:hAnsi="Arial" w:cs="Arial"/>
        </w:rPr>
      </w:pPr>
      <w:r>
        <w:rPr>
          <w:rFonts w:cs="Arial" w:ascii="Arial" w:hAnsi="Arial"/>
        </w:rPr>
        <w:t>LD/sc</w:t>
      </w:r>
    </w:p>
    <w:p>
      <w:pPr>
        <w:pStyle w:val="0"/>
        <w:rPr>
          <w:rFonts w:ascii="Arial" w:hAnsi="Arial" w:cs="Arial"/>
        </w:rPr>
      </w:pPr>
      <w:r>
        <w:rPr>
          <w:rFonts w:cs="Arial" w:ascii="Arial" w:hAnsi="Arial"/>
        </w:rPr>
      </w:r>
    </w:p>
    <w:p>
      <w:pPr>
        <w:pStyle w:val="0"/>
        <w:tabs>
          <w:tab w:val="clear" w:pos="720"/>
          <w:tab w:val="left" w:pos="540" w:leader="none"/>
        </w:tabs>
        <w:rPr>
          <w:rFonts w:ascii="Arial" w:hAnsi="Arial" w:cs="Arial"/>
        </w:rPr>
      </w:pPr>
      <w:r>
        <w:rPr>
          <w:rFonts w:cs="Arial" w:ascii="Arial" w:hAnsi="Arial"/>
        </w:rPr>
        <w:t>cc:   Bill Monahan - Siemens Westinghouse Power Corporation MC 805</w:t>
      </w:r>
    </w:p>
    <w:p>
      <w:pPr>
        <w:pStyle w:val="0"/>
        <w:tabs>
          <w:tab w:val="clear" w:pos="720"/>
          <w:tab w:val="left" w:pos="450" w:leader="none"/>
        </w:tabs>
        <w:rPr>
          <w:rFonts w:ascii="Arial" w:hAnsi="Arial" w:cs="Arial"/>
        </w:rPr>
      </w:pPr>
      <w:r>
        <w:rPr>
          <w:rFonts w:cs="Arial" w:ascii="Arial" w:hAnsi="Arial"/>
        </w:rPr>
        <w:tab/>
        <w:t>Gillian Saunders - Siemens Westinghouse Power Corporation MC 805</w:t>
      </w:r>
    </w:p>
    <w:p>
      <w:pPr>
        <w:pStyle w:val="0"/>
        <w:tabs>
          <w:tab w:val="clear" w:pos="720"/>
          <w:tab w:val="left" w:pos="450" w:leader="none"/>
        </w:tabs>
        <w:rPr>
          <w:rFonts w:ascii="Arial" w:hAnsi="Arial" w:cs="Arial"/>
        </w:rPr>
      </w:pPr>
      <w:r>
        <w:rPr>
          <w:rFonts w:cs="Arial" w:ascii="Arial" w:hAnsi="Arial"/>
        </w:rPr>
        <w:tab/>
        <w:t>Ming Miranda - Siemens Westinghouse Power Corporation MC 805</w:t>
      </w:r>
    </w:p>
    <w:p>
      <w:pPr>
        <w:pStyle w:val="0"/>
        <w:tabs>
          <w:tab w:val="clear" w:pos="720"/>
          <w:tab w:val="left" w:pos="450" w:leader="none"/>
        </w:tabs>
        <w:rPr>
          <w:rFonts w:ascii="Arial" w:hAnsi="Arial" w:cs="Arial"/>
        </w:rPr>
      </w:pPr>
      <w:r>
        <w:rPr>
          <w:rFonts w:cs="Arial" w:ascii="Arial" w:hAnsi="Arial"/>
        </w:rPr>
        <w:tab/>
        <w:t>Kathryn Saugstad - Siemens Westinghouse Power Corporation MC 550</w:t>
      </w:r>
    </w:p>
    <w:p>
      <w:pPr>
        <w:pStyle w:val="0"/>
        <w:tabs>
          <w:tab w:val="clear" w:pos="720"/>
          <w:tab w:val="left" w:pos="450" w:leader="none"/>
        </w:tabs>
        <w:rPr>
          <w:rFonts w:ascii="Arial" w:hAnsi="Arial" w:cs="Arial"/>
        </w:rPr>
      </w:pPr>
      <w:r>
        <w:rPr>
          <w:rFonts w:cs="Arial" w:ascii="Arial" w:hAnsi="Arial"/>
        </w:rPr>
        <w:tab/>
        <w:t>Files Enron FD, Enron D5A, Enron P</w:t>
      </w:r>
    </w:p>
    <w:sectPr>
      <w:footerReference w:type="default" r:id="rId2"/>
      <w:footerReference w:type="first" r:id="rId3"/>
      <w:type w:val="nextPage"/>
      <w:pgSz w:w="12240" w:h="15840"/>
      <w:pgMar w:left="1152" w:right="1152" w:gutter="0" w:header="0" w:top="2160" w:footer="720" w:bottom="21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080" w:leader="none"/>
      </w:tabs>
      <w:rPr/>
    </w:pPr>
    <w:r>
      <w:rPr>
        <w:sz w:val="16"/>
      </w:rPr>
      <w:tab/>
      <w:tab/>
    </w:r>
    <w:r>
      <w:rPr>
        <w:sz w:val="16"/>
      </w:rPr>
      <w:fldChar w:fldCharType="begin"/>
    </w:r>
    <w:r>
      <w:rPr>
        <w:sz w:val="16"/>
      </w:rPr>
      <w:instrText xml:space="preserve"> FILENAME </w:instrText>
    </w:r>
    <w:r>
      <w:rPr>
        <w:sz w:val="16"/>
      </w:rPr>
      <w:fldChar w:fldCharType="separate"/>
    </w:r>
    <w:r>
      <w:rPr>
        <w:sz w:val="16"/>
      </w:rPr>
      <w:t>Y2KF_099.doc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080" w:leader="none"/>
      </w:tabs>
      <w:rPr>
        <w:sz w:val="16"/>
      </w:rPr>
    </w:pPr>
    <w:r>
      <w:rPr>
        <w:sz w:val="16"/>
      </w:rPr>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S 45 Light" w:hAnsi="UniversS 45 Light" w:eastAsia="Times New Roman" w:cs="UniversS 45 Ligh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rFonts w:ascii="UniversS 45 Light" w:hAnsi="UniversS 45 Light" w:cs="UniversS 45 Light"/>
      <w:sz w:val="16"/>
    </w:rPr>
  </w:style>
  <w:style w:type="character" w:styleId="EndnoteCharacters">
    <w:name w:val="Endnote Characters"/>
    <w:basedOn w:val="DefaultParagraphFont"/>
    <w:qFormat/>
    <w:rPr>
      <w:rFonts w:ascii="UniversS 45 Light" w:hAnsi="UniversS 45 Light" w:cs="UniversS 45 Light"/>
      <w:vertAlign w:val="superscript"/>
    </w:rPr>
  </w:style>
  <w:style w:type="character" w:styleId="FootnoteCharacters">
    <w:name w:val="Footnote Characters"/>
    <w:basedOn w:val="DefaultParagraphFont"/>
    <w:qFormat/>
    <w:rPr>
      <w:rFonts w:ascii="UniversS 45 Light" w:hAnsi="UniversS 45 Light" w:cs="UniversS 45 Light"/>
      <w:vertAlign w:val="superscript"/>
    </w:rPr>
  </w:style>
  <w:style w:type="character" w:styleId="LineNumber">
    <w:name w:val="line number"/>
    <w:basedOn w:val="DefaultParagraphFont"/>
    <w:rPr>
      <w:rFonts w:ascii="UniversS 45 Light" w:hAnsi="UniversS 45 Light" w:cs="UniversS 45 Light"/>
    </w:rPr>
  </w:style>
  <w:style w:type="character" w:styleId="PageNumber">
    <w:name w:val="page number"/>
    <w:basedOn w:val="DefaultParagraphFont"/>
    <w:rPr>
      <w:rFonts w:ascii="UniversS 45 Light" w:hAnsi="UniversS 45 Light" w:cs="UniversS 45 Light"/>
    </w:rPr>
  </w:style>
  <w:style w:type="paragraph" w:styleId="Heading">
    <w:name w:val="Heading"/>
    <w:basedOn w:val="Normal"/>
    <w:next w:val="BodyText"/>
    <w:qFormat/>
    <w:pPr>
      <w:spacing w:before="240" w:after="60"/>
      <w:jc w:val="center"/>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rPr>
      <w:sz w:val="22"/>
    </w:rPr>
  </w:style>
  <w:style w:type="paragraph" w:styleId="0hi">
    <w:name w:val="0hi"/>
    <w:basedOn w:val="Normal"/>
    <w:qFormat/>
    <w:pPr>
      <w:ind w:hanging="360" w:start="36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8"/>
    </w:rPr>
  </w:style>
  <w:style w:type="paragraph" w:styleId="Index1">
    <w:name w:val="index 1"/>
    <w:basedOn w:val="Normal"/>
    <w:next w:val="Normal"/>
    <w:pPr>
      <w:tabs>
        <w:tab w:val="clear" w:pos="720"/>
        <w:tab w:val="right" w:pos="9936" w:leader="dot"/>
      </w:tabs>
      <w:ind w:hanging="220" w:start="220" w:end="0"/>
    </w:pPr>
    <w:rPr/>
  </w:style>
  <w:style w:type="paragraph" w:styleId="IndexHeading">
    <w:name w:val="index heading"/>
    <w:basedOn w:val="Normal"/>
    <w:next w:val="Index1"/>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UniversS 45 Light" w:hAnsi="UniversS 45 Light" w:eastAsia="Times New Roman" w:cs="UniversS 45 Light"/>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Subtitle">
    <w:name w:val="Subtitle"/>
    <w:basedOn w:val="Normal"/>
    <w:next w:val="BodyText"/>
    <w:qFormat/>
    <w:pPr>
      <w:spacing w:before="0" w:after="60"/>
      <w:jc w:val="center"/>
    </w:pPr>
    <w:rPr>
      <w:sz w:val="24"/>
    </w:rPr>
  </w:style>
  <w:style w:type="paragraph" w:styleId="TOAHeading">
    <w:name w:val="TOA Heading"/>
    <w:basedOn w:val="Normal"/>
    <w:next w:val="Normal"/>
    <w:qFormat/>
    <w:pPr>
      <w:spacing w:before="120" w:after="0"/>
    </w:pPr>
    <w:rPr>
      <w:b/>
      <w:sz w:val="24"/>
    </w:rPr>
  </w:style>
  <w:style w:type="paragraph" w:styleId="TOC9">
    <w:name w:val="toc 9"/>
    <w:basedOn w:val="Normal"/>
    <w:next w:val="Normal"/>
    <w:pPr>
      <w:tabs>
        <w:tab w:val="clear" w:pos="720"/>
        <w:tab w:val="right" w:pos="9936" w:leader="dot"/>
      </w:tabs>
      <w:ind w:hanging="0" w:start="17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Siemens Letter2</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2001-03-06T18:28:00Z</dcterms:created>
  <dc:creator>carrers</dc:creator>
  <dc:description>Created March 1999 for Office97.
Print on first sheet stationery (logo and address pre-printed on the stationery).</dc:description>
  <dc:language>en-CA</dc:language>
  <cp:lastModifiedBy>carrers</cp:lastModifiedBy>
  <cp:lastPrinted>2001-03-07T16:36:00Z</cp:lastPrinted>
  <dcterms:modified xsi:type="dcterms:W3CDTF">2001-03-07T19:08:00Z</dcterms:modified>
  <cp:revision>7</cp:revision>
  <dc:subject>for Office97</dc:subject>
  <dc:title>Letter to print on pre-printed stationery</dc:title>
</cp:coreProperties>
</file>