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sz w:val="22"/>
        </w:rPr>
      </w:pPr>
      <w:r>
        <w:rPr>
          <w:sz w:val="22"/>
        </w:rPr>
      </w:r>
    </w:p>
    <w:p>
      <w:pPr>
        <w:pStyle w:val="Normal"/>
        <w:rPr>
          <w:sz w:val="22"/>
        </w:rPr>
      </w:pPr>
      <w:r>
        <w:rPr>
          <w:sz w:val="22"/>
        </w:rPr>
      </w:r>
    </w:p>
    <w:p>
      <w:pPr>
        <w:pStyle w:val="Normal"/>
        <w:rPr>
          <w:sz w:val="22"/>
        </w:rPr>
      </w:pPr>
      <w:r>
        <w:rPr>
          <w:sz w:val="22"/>
        </w:rPr>
        <w:t>July 17, 2001</w:t>
        <w:tab/>
      </w:r>
    </w:p>
    <w:p>
      <w:pPr>
        <w:pStyle w:val="Normal"/>
        <w:rPr>
          <w:sz w:val="20"/>
        </w:rPr>
      </w:pPr>
      <w:r>
        <w:rPr>
          <w:sz w:val="20"/>
        </w:rPr>
      </w:r>
    </w:p>
    <w:p>
      <w:pPr>
        <w:pStyle w:val="Normal"/>
        <w:rPr>
          <w:sz w:val="20"/>
        </w:rPr>
      </w:pPr>
      <w:r>
        <w:rPr>
          <w:sz w:val="20"/>
        </w:rPr>
        <w:t>Alan Bransgrove</w:t>
      </w:r>
    </w:p>
    <w:p>
      <w:pPr>
        <w:pStyle w:val="Normal"/>
        <w:rPr>
          <w:sz w:val="20"/>
        </w:rPr>
      </w:pPr>
      <w:r>
        <w:rPr>
          <w:sz w:val="20"/>
        </w:rPr>
        <w:t>Xcel Energy Services Inc.</w:t>
      </w:r>
    </w:p>
    <w:p>
      <w:pPr>
        <w:pStyle w:val="Normal"/>
        <w:rPr>
          <w:sz w:val="20"/>
        </w:rPr>
      </w:pPr>
      <w:r>
        <w:rPr>
          <w:sz w:val="20"/>
        </w:rPr>
        <w:t>Gas Acquisition and Trading</w:t>
      </w:r>
    </w:p>
    <w:p>
      <w:pPr>
        <w:pStyle w:val="Normal"/>
        <w:rPr>
          <w:sz w:val="20"/>
        </w:rPr>
      </w:pPr>
      <w:r>
        <w:rPr>
          <w:sz w:val="20"/>
        </w:rPr>
        <w:t>2001 – 2002 Term Gas Purchase – Price Bid Solicitation</w:t>
      </w:r>
    </w:p>
    <w:p>
      <w:pPr>
        <w:pStyle w:val="Normal"/>
        <w:rPr>
          <w:sz w:val="20"/>
        </w:rPr>
      </w:pPr>
      <w:r>
        <w:rPr>
          <w:sz w:val="20"/>
        </w:rPr>
        <w:t>Public Service Company of Colorado</w:t>
      </w:r>
    </w:p>
    <w:p>
      <w:pPr>
        <w:pStyle w:val="Normal"/>
        <w:rPr/>
      </w:pPr>
      <w:r>
        <w:rPr>
          <w:sz w:val="20"/>
        </w:rPr>
        <w:t>1099 18</w:t>
      </w:r>
      <w:r>
        <w:rPr>
          <w:sz w:val="20"/>
          <w:vertAlign w:val="superscript"/>
        </w:rPr>
        <w:t>th</w:t>
      </w:r>
      <w:r>
        <w:rPr>
          <w:sz w:val="20"/>
        </w:rPr>
        <w:t xml:space="preserve"> Street, Suite 3000</w:t>
      </w:r>
    </w:p>
    <w:p>
      <w:pPr>
        <w:pStyle w:val="Normal"/>
        <w:rPr>
          <w:sz w:val="20"/>
        </w:rPr>
      </w:pPr>
      <w:r>
        <w:rPr>
          <w:sz w:val="20"/>
        </w:rPr>
        <w:t>Denver, Colorado 80202</w:t>
        <w:tab/>
      </w:r>
    </w:p>
    <w:p>
      <w:pPr>
        <w:pStyle w:val="Normal"/>
        <w:rPr>
          <w:sz w:val="20"/>
        </w:rPr>
      </w:pPr>
      <w:r>
        <w:rPr>
          <w:sz w:val="20"/>
        </w:rPr>
      </w:r>
    </w:p>
    <w:p>
      <w:pPr>
        <w:pStyle w:val="BodyText"/>
        <w:rPr>
          <w:sz w:val="20"/>
        </w:rPr>
      </w:pPr>
      <w:r>
        <w:rPr>
          <w:sz w:val="20"/>
        </w:rPr>
        <w:t>Enron North America (ENA) appreciates the opportunity to present our offer in response to your request for 2001-2002 gas.  Through our Denver origination and middle market group, in combination with our vast Houston trading operations, ENA has consistently offered our Rocky Mountain customers innovative alternatives for their gas purchase portfolios.  ENA has enjoyed a solid marketing relationship with Xcel in the past, and we are excited about the opportunity to continue our relationship with this offer for your 2001-2002 gas demand.</w:t>
      </w:r>
    </w:p>
    <w:p>
      <w:pPr>
        <w:pStyle w:val="Normal"/>
        <w:rPr>
          <w:sz w:val="20"/>
        </w:rPr>
      </w:pPr>
      <w:r>
        <w:rPr>
          <w:sz w:val="20"/>
        </w:rPr>
      </w:r>
    </w:p>
    <w:p>
      <w:pPr>
        <w:pStyle w:val="Normal"/>
        <w:rPr>
          <w:sz w:val="20"/>
        </w:rPr>
      </w:pPr>
      <w:r>
        <w:rPr>
          <w:sz w:val="20"/>
        </w:rPr>
        <w:t>Under the following pricing structures, ENA would sell Xcel gas delivered into PSCo.  Our bid includes multiple pricing alternatives for each of the firm swing packages, with prices based on Gas Daily daily index and Inside FERC monthly index.  Furthermore, we have included five and ten day calls struck at the monthly index price, which would allow Xcel to exercise a total of five or ten days within the given term for an option premium that is substantially cheaper than the “full-term” calls. The premiums on these five and ten day calls are generally 75-85% cheaper than the premiums on the everyday calls.</w:t>
      </w:r>
    </w:p>
    <w:p>
      <w:pPr>
        <w:pStyle w:val="Normal"/>
        <w:rPr>
          <w:sz w:val="20"/>
        </w:rPr>
      </w:pPr>
      <w:r>
        <w:rPr>
          <w:sz w:val="20"/>
        </w:rPr>
      </w:r>
    </w:p>
    <w:p>
      <w:pPr>
        <w:pStyle w:val="Normal"/>
        <w:rPr>
          <w:sz w:val="20"/>
        </w:rPr>
      </w:pPr>
      <w:r>
        <w:rPr>
          <w:sz w:val="20"/>
        </w:rPr>
        <w:t xml:space="preserve">All quoted prices are index based; however, Xcel would have the right to trigger a fixed price or a basis swap based on market prices at the time of the request.  If these pricing structures do not exactly fit your needs, we would appreciate the opportunity to discuss how we could adjust them to meet those needs. </w:t>
      </w:r>
    </w:p>
    <w:p>
      <w:pPr>
        <w:pStyle w:val="Normal"/>
        <w:rPr>
          <w:sz w:val="20"/>
        </w:rPr>
      </w:pPr>
      <w:r>
        <w:rPr>
          <w:sz w:val="20"/>
        </w:rPr>
      </w:r>
    </w:p>
    <w:p>
      <w:pPr>
        <w:pStyle w:val="BodyText3"/>
        <w:rPr/>
      </w:pPr>
      <w:r>
        <w:rPr/>
        <w:t>Minimum notification for the firm variable bids is 5 days prior to the first day of flow.  The firm swing bids assume notification by 8:00 CST on the day prior to flow.</w:t>
      </w:r>
    </w:p>
    <w:p>
      <w:pPr>
        <w:pStyle w:val="Normal"/>
        <w:rPr>
          <w:sz w:val="20"/>
        </w:rPr>
      </w:pPr>
      <w:r>
        <w:rPr>
          <w:sz w:val="20"/>
        </w:rPr>
      </w:r>
    </w:p>
    <w:p>
      <w:pPr>
        <w:pStyle w:val="BodyText2"/>
        <w:rPr>
          <w:sz w:val="16"/>
        </w:rPr>
      </w:pPr>
      <w:r>
        <w:rPr>
          <w:sz w:val="16"/>
        </w:rPr>
        <w:t>THIS TERM SHEET PROPOSAL IS FOR DISCUSSION PURPOSES ONLY TO FACILITATE THE NEGOTIATION PREPARATION AND EXECUTION OF A DEFINITIVE AGREEMENT.  THIS TERM SHEET PROPOSAL IS NOT AN OFFER OR COMMITMENT BY SELLER OR ANY AFFILIATE OF ENRON NORTH AMERICA CORP.   ALL PRICES AND TERMS ARE SUBJECT TO CHANGE UNTIL SUCH TIME WHEN A DEFINITIVE AGREEMENT MAY BE SIGNED.  THIS TERM SHEET PROPOSAL IS NOT INTENDED TO CREATE A BINDING OR ENFORCEABLE AGREEMENT OR CONTRACT OR TO BE COMPLETE AND INCLUSIVE OF ALL THE TERMS OF THE SUBJECT TRANSACTION.  FURTHERMORE, THIS TERM SHEET PROPOSAL IS NOT A COMMITMENT OR AGREEMENT TO ENTER INTO A BINDING AGREEMENT OR CONTRACT IN THE FUTURE.</w:t>
      </w:r>
    </w:p>
    <w:p>
      <w:pPr>
        <w:pStyle w:val="Normal"/>
        <w:rPr>
          <w:color w:val="000000"/>
          <w:sz w:val="20"/>
          <w:szCs w:val="22"/>
        </w:rPr>
      </w:pPr>
      <w:r>
        <w:rPr>
          <w:color w:val="000000"/>
          <w:sz w:val="20"/>
          <w:szCs w:val="22"/>
        </w:rPr>
      </w:r>
    </w:p>
    <w:p>
      <w:pPr>
        <w:pStyle w:val="Normal"/>
        <w:rPr/>
      </w:pPr>
      <w:r>
        <w:rPr>
          <w:color w:val="000000"/>
          <w:sz w:val="20"/>
          <w:szCs w:val="22"/>
        </w:rPr>
        <w:t xml:space="preserve">Please feel free to contact me at 303-575-6473 or e-mail at </w:t>
      </w:r>
      <w:hyperlink r:id="rId2">
        <w:r>
          <w:rPr>
            <w:rStyle w:val="Hyperlink"/>
            <w:sz w:val="20"/>
            <w:szCs w:val="22"/>
          </w:rPr>
          <w:t>Mark.Whitt@Enron.com</w:t>
        </w:r>
      </w:hyperlink>
      <w:r>
        <w:rPr>
          <w:color w:val="000000"/>
          <w:sz w:val="20"/>
          <w:szCs w:val="22"/>
        </w:rPr>
        <w:t xml:space="preserve"> if you have any questions.</w:t>
      </w:r>
    </w:p>
    <w:p>
      <w:pPr>
        <w:pStyle w:val="Normal"/>
        <w:rPr>
          <w:color w:val="000000"/>
          <w:sz w:val="20"/>
          <w:szCs w:val="22"/>
        </w:rPr>
      </w:pPr>
      <w:r>
        <w:rPr>
          <w:color w:val="000000"/>
          <w:sz w:val="20"/>
          <w:szCs w:val="22"/>
        </w:rPr>
      </w:r>
    </w:p>
    <w:p>
      <w:pPr>
        <w:pStyle w:val="Normal"/>
        <w:rPr>
          <w:color w:val="000000"/>
          <w:sz w:val="20"/>
          <w:szCs w:val="22"/>
        </w:rPr>
      </w:pPr>
      <w:r>
        <w:rPr>
          <w:color w:val="000000"/>
          <w:sz w:val="20"/>
          <w:szCs w:val="22"/>
        </w:rPr>
      </w:r>
    </w:p>
    <w:p>
      <w:pPr>
        <w:pStyle w:val="Normal"/>
        <w:rPr>
          <w:color w:val="000000"/>
          <w:sz w:val="20"/>
          <w:szCs w:val="22"/>
        </w:rPr>
      </w:pPr>
      <w:r>
        <w:rPr>
          <w:color w:val="000000"/>
          <w:sz w:val="20"/>
          <w:szCs w:val="22"/>
        </w:rPr>
        <w:t>Sincerely,</w:t>
      </w:r>
    </w:p>
    <w:p>
      <w:pPr>
        <w:pStyle w:val="Normal"/>
        <w:rPr>
          <w:color w:val="000000"/>
          <w:sz w:val="20"/>
          <w:szCs w:val="22"/>
        </w:rPr>
      </w:pPr>
      <w:r>
        <w:rPr>
          <w:color w:val="000000"/>
          <w:sz w:val="20"/>
          <w:szCs w:val="22"/>
        </w:rPr>
      </w:r>
    </w:p>
    <w:p>
      <w:pPr>
        <w:pStyle w:val="Normal"/>
        <w:rPr>
          <w:color w:val="000000"/>
          <w:sz w:val="20"/>
          <w:szCs w:val="22"/>
        </w:rPr>
      </w:pPr>
      <w:r>
        <w:rPr/>
        <w:object w:dxaOrig="4169" w:dyaOrig="96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9.6pt;height:22.8pt" filled="f" o:ole="">
            <v:imagedata r:id="rId4" o:title=""/>
          </v:shape>
          <o:OLEObject Type="Embed" ProgID="" ShapeID="ole_rId3" DrawAspect="Content" ObjectID="_1135019418" r:id="rId3"/>
        </w:object>
      </w:r>
    </w:p>
    <w:p>
      <w:pPr>
        <w:pStyle w:val="Normal"/>
        <w:rPr>
          <w:color w:val="000000"/>
          <w:sz w:val="20"/>
          <w:szCs w:val="22"/>
        </w:rPr>
      </w:pPr>
      <w:r>
        <w:rPr>
          <w:color w:val="000000"/>
          <w:sz w:val="20"/>
          <w:szCs w:val="22"/>
        </w:rPr>
        <w:t>Mark Whitt</w:t>
      </w:r>
    </w:p>
    <w:p>
      <w:pPr>
        <w:pStyle w:val="Normal"/>
        <w:rPr>
          <w:color w:val="000000"/>
          <w:sz w:val="20"/>
          <w:szCs w:val="22"/>
        </w:rPr>
      </w:pPr>
      <w:r>
        <w:rPr>
          <w:color w:val="000000"/>
          <w:sz w:val="20"/>
          <w:szCs w:val="22"/>
        </w:rPr>
        <w:t>Vice President</w:t>
      </w:r>
    </w:p>
    <w:sectPr>
      <w:footerReference w:type="default" r:id="rId5"/>
      <w:type w:val="nextPage"/>
      <w:pgSz w:w="12240" w:h="15840"/>
      <w:pgMar w:left="1800" w:right="1800" w:gutter="0" w:header="0" w:top="1440" w:footer="72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color w:val="FF0000"/>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tyle>
  <w:style w:type="paragraph" w:styleId="BodyTextIndent2">
    <w:name w:val="Body Text Indent 2"/>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2790" w:end="0"/>
    </w:pPr>
    <w:rPr>
      <w:sz w:val="22"/>
    </w:rPr>
  </w:style>
  <w:style w:type="paragraph" w:styleId="BodyText2">
    <w:name w:val="Body Text 2"/>
    <w:basedOn w:val="Normal"/>
    <w:qFormat/>
    <w:pPr>
      <w:jc w:val="both"/>
    </w:pPr>
    <w:rPr>
      <w:b/>
      <w:bCs/>
      <w:color w:val="000000"/>
      <w:sz w:val="18"/>
      <w:szCs w:val="22"/>
    </w:rPr>
  </w:style>
  <w:style w:type="paragraph" w:styleId="BodyText3">
    <w:name w:val="Body Text 3"/>
    <w:basedOn w:val="Normal"/>
    <w:qFormat/>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k.Whitt@Enron.com" TargetMode="External"/><Relationship Id="rId3" Type="http://schemas.openxmlformats.org/officeDocument/2006/relationships/oleObject" Target="embeddings/oleObject1.bin"/><Relationship Id="rId4" Type="http://schemas.openxmlformats.org/officeDocument/2006/relationships/image" Target="media/image1.pn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2001-07-17T18:54:00Z</dcterms:created>
  <dc:creator>Preferred Customer</dc:creator>
  <dc:description/>
  <dc:language>en-CA</dc:language>
  <cp:lastModifiedBy>Tyrell</cp:lastModifiedBy>
  <cp:lastPrinted>2001-07-18T11:47:00Z</cp:lastPrinted>
  <dcterms:modified xsi:type="dcterms:W3CDTF">2001-07-18T17:48:00Z</dcterms:modified>
  <cp:revision>11</cp:revision>
  <dc:subject/>
  <dc:title>The following bids include rights to trigger a fixed commodity price based on NYMEX for any future month(s) at mutually agreea</dc:title>
</cp:coreProperties>
</file>