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PREHEARING CONFERENCE STATEMENT</w:t>
      </w:r>
    </w:p>
    <w:p>
      <w:pPr>
        <w:pStyle w:val="Normal"/>
        <w:jc w:val="center"/>
        <w:rPr>
          <w:b/>
        </w:rPr>
      </w:pPr>
      <w:r>
        <w:rPr>
          <w:b/>
        </w:rPr>
        <w:t>(November 7, 2001)</w:t>
      </w:r>
    </w:p>
    <w:p>
      <w:pPr>
        <w:pStyle w:val="Normal"/>
        <w:jc w:val="center"/>
        <w:rPr>
          <w:b/>
        </w:rPr>
      </w:pPr>
      <w:r>
        <w:rPr>
          <w:b/>
        </w:rPr>
      </w:r>
    </w:p>
    <w:p>
      <w:pPr>
        <w:pStyle w:val="Normal"/>
        <w:jc w:val="center"/>
        <w:rPr>
          <w:b/>
        </w:rPr>
      </w:pPr>
      <w:r>
        <w:rPr>
          <w:b/>
        </w:rPr>
      </w:r>
    </w:p>
    <w:p>
      <w:pPr>
        <w:pStyle w:val="Normal"/>
        <w:jc w:val="both"/>
        <w:rPr>
          <w:b/>
        </w:rPr>
      </w:pPr>
      <w:r>
        <w:rPr>
          <w:b/>
        </w:rPr>
        <w:t>I.</w:t>
        <w:tab/>
        <w:t>SUSPENSION OF PAYMENT OF THE PX CREDIT</w:t>
      </w:r>
    </w:p>
    <w:p>
      <w:pPr>
        <w:pStyle w:val="Normal"/>
        <w:jc w:val="both"/>
        <w:rPr>
          <w:b/>
        </w:rPr>
      </w:pPr>
      <w:r>
        <w:rPr>
          <w:b/>
        </w:rPr>
      </w:r>
    </w:p>
    <w:p>
      <w:pPr>
        <w:pStyle w:val="Normal"/>
        <w:jc w:val="both"/>
        <w:rPr>
          <w:b/>
        </w:rPr>
      </w:pPr>
      <w:r>
        <w:rPr>
          <w:b/>
        </w:rPr>
        <w:tab/>
        <w:t>A.</w:t>
        <w:tab/>
        <w:t>Overview</w:t>
      </w:r>
    </w:p>
    <w:p>
      <w:pPr>
        <w:pStyle w:val="Normal"/>
        <w:jc w:val="both"/>
        <w:rPr>
          <w:b/>
        </w:rPr>
      </w:pPr>
      <w:r>
        <w:rPr>
          <w:b/>
        </w:rPr>
        <w:tab/>
      </w:r>
    </w:p>
    <w:p>
      <w:pPr>
        <w:pStyle w:val="Normal"/>
        <w:ind w:start="1440" w:end="0"/>
        <w:jc w:val="both"/>
        <w:rPr/>
      </w:pPr>
      <w:r>
        <w:rPr/>
        <w:t>Neither PG&amp;E nor SCE has contested (at least in this proceeding) that PX</w:t>
        <w:tab/>
        <w:t>credits are owed, just that, given their financial situation they could not pay them. Commission does not need reach factual issues of whether PX credits amounts are owing.</w:t>
      </w:r>
    </w:p>
    <w:p>
      <w:pPr>
        <w:pStyle w:val="Normal"/>
        <w:ind w:start="1440" w:end="0"/>
        <w:jc w:val="both"/>
        <w:rPr/>
      </w:pPr>
      <w:r>
        <w:rPr/>
      </w:r>
    </w:p>
    <w:p>
      <w:pPr>
        <w:pStyle w:val="Normal"/>
        <w:ind w:hanging="720" w:start="1440" w:end="0"/>
        <w:jc w:val="both"/>
        <w:rPr>
          <w:b/>
        </w:rPr>
      </w:pPr>
      <w:r>
        <w:rPr>
          <w:b/>
        </w:rPr>
        <w:t>B.</w:t>
        <w:tab/>
        <w:t>Factual Issues</w:t>
      </w:r>
    </w:p>
    <w:p>
      <w:pPr>
        <w:pStyle w:val="Normal"/>
        <w:ind w:hanging="720" w:start="1440" w:end="0"/>
        <w:jc w:val="both"/>
        <w:rPr>
          <w:b/>
        </w:rPr>
      </w:pPr>
      <w:r>
        <w:rPr>
          <w:b/>
        </w:rPr>
      </w:r>
    </w:p>
    <w:p>
      <w:pPr>
        <w:pStyle w:val="Normal"/>
        <w:ind w:hanging="720" w:start="2160" w:end="0"/>
        <w:jc w:val="both"/>
        <w:rPr/>
      </w:pPr>
      <w:r>
        <w:rPr/>
        <w:t>1.</w:t>
        <w:tab/>
        <w:t>What level of financing the UDCs need to secure prior to their obligation to pay credit is not longer suspended.</w:t>
      </w:r>
    </w:p>
    <w:p>
      <w:pPr>
        <w:pStyle w:val="Normal"/>
        <w:ind w:hanging="720" w:start="2160" w:end="0"/>
        <w:jc w:val="both"/>
        <w:rPr/>
      </w:pPr>
      <w:r>
        <w:rPr/>
      </w:r>
    </w:p>
    <w:p>
      <w:pPr>
        <w:pStyle w:val="Normal"/>
        <w:ind w:hanging="720" w:start="2160" w:end="0"/>
        <w:jc w:val="both"/>
        <w:rPr/>
      </w:pPr>
      <w:r>
        <w:rPr/>
        <w:t>2.</w:t>
        <w:tab/>
        <w:t xml:space="preserve">Amount of payment owed each ESP/direct access customer </w:t>
      </w:r>
      <w:r>
        <w:rPr>
          <w:b/>
        </w:rPr>
        <w:t>[have to decide whether we want this issue rolled into more generic proceeding]</w:t>
      </w:r>
      <w:r>
        <w:rPr/>
        <w:t xml:space="preserve"> </w:t>
      </w:r>
    </w:p>
    <w:p>
      <w:pPr>
        <w:pStyle w:val="Normal"/>
        <w:ind w:hanging="720" w:start="2160" w:end="0"/>
        <w:jc w:val="both"/>
        <w:rPr/>
      </w:pPr>
      <w:r>
        <w:rPr/>
      </w:r>
    </w:p>
    <w:p>
      <w:pPr>
        <w:pStyle w:val="Normal"/>
        <w:jc w:val="both"/>
        <w:rPr>
          <w:b/>
        </w:rPr>
      </w:pPr>
      <w:r>
        <w:rPr>
          <w:b/>
        </w:rPr>
        <w:t>II.</w:t>
        <w:tab/>
        <w:t>IMPLEMENTATION OF THE SUSPENSION OF DIRECT ACCESS</w:t>
      </w:r>
    </w:p>
    <w:p>
      <w:pPr>
        <w:pStyle w:val="Normal"/>
        <w:jc w:val="both"/>
        <w:rPr>
          <w:b/>
        </w:rPr>
      </w:pPr>
      <w:r>
        <w:rPr>
          <w:b/>
        </w:rPr>
      </w:r>
    </w:p>
    <w:p>
      <w:pPr>
        <w:pStyle w:val="Normal"/>
        <w:jc w:val="both"/>
        <w:rPr>
          <w:b/>
        </w:rPr>
      </w:pPr>
      <w:r>
        <w:rPr>
          <w:b/>
        </w:rPr>
        <w:tab/>
        <w:t>A.</w:t>
        <w:tab/>
        <w:t>Overview</w:t>
      </w:r>
    </w:p>
    <w:p>
      <w:pPr>
        <w:pStyle w:val="Normal"/>
        <w:jc w:val="both"/>
        <w:rPr>
          <w:b/>
        </w:rPr>
      </w:pPr>
      <w:r>
        <w:rPr>
          <w:b/>
        </w:rPr>
      </w:r>
    </w:p>
    <w:p>
      <w:pPr>
        <w:pStyle w:val="Normal"/>
        <w:ind w:start="1440" w:end="0"/>
        <w:jc w:val="both"/>
        <w:rPr/>
      </w:pPr>
      <w:r>
        <w:rPr/>
        <w:t>General statement supporting ARM’s proposal.  Recognition that the push to be restrictive in the manner which the suspension is implemented comes from the view that direct access is harmful to energy picture in the state of California. But, there are no facts on the record to demonstrate this.</w:t>
      </w:r>
    </w:p>
    <w:p>
      <w:pPr>
        <w:pStyle w:val="Normal"/>
        <w:ind w:start="1440" w:end="0"/>
        <w:jc w:val="both"/>
        <w:rPr/>
      </w:pPr>
      <w:r>
        <w:rPr/>
      </w:r>
    </w:p>
    <w:p>
      <w:pPr>
        <w:pStyle w:val="Normal"/>
        <w:ind w:start="1440" w:end="0"/>
        <w:jc w:val="both"/>
        <w:rPr/>
      </w:pPr>
      <w:r>
        <w:rPr/>
      </w:r>
    </w:p>
    <w:p>
      <w:pPr>
        <w:pStyle w:val="Normal"/>
        <w:ind w:hanging="720" w:start="1440" w:end="0"/>
        <w:jc w:val="both"/>
        <w:rPr>
          <w:b/>
        </w:rPr>
      </w:pPr>
      <w:r>
        <w:rPr>
          <w:b/>
        </w:rPr>
        <w:t>B.</w:t>
        <w:tab/>
        <w:t>Factual Issues</w:t>
      </w:r>
    </w:p>
    <w:p>
      <w:pPr>
        <w:pStyle w:val="Normal"/>
        <w:ind w:hanging="720" w:start="1440" w:end="0"/>
        <w:jc w:val="both"/>
        <w:rPr>
          <w:b/>
        </w:rPr>
      </w:pPr>
      <w:r>
        <w:rPr>
          <w:b/>
        </w:rPr>
      </w:r>
    </w:p>
    <w:p>
      <w:pPr>
        <w:pStyle w:val="Normal"/>
        <w:ind w:hanging="720" w:start="1440" w:end="0"/>
        <w:jc w:val="both"/>
        <w:rPr/>
      </w:pPr>
      <w:r>
        <w:rPr>
          <w:b/>
        </w:rPr>
        <w:tab/>
      </w:r>
      <w:r>
        <w:rPr/>
        <w:t>1.</w:t>
      </w:r>
      <w:r>
        <w:rPr>
          <w:b/>
        </w:rPr>
        <w:tab/>
      </w:r>
      <w:r>
        <w:rPr/>
        <w:t>Impact of direct access on DWR’s ability to issue bonds</w:t>
      </w:r>
    </w:p>
    <w:p>
      <w:pPr>
        <w:pStyle w:val="Normal"/>
        <w:ind w:hanging="720" w:start="1440" w:end="0"/>
        <w:jc w:val="both"/>
        <w:rPr/>
      </w:pPr>
      <w:r>
        <w:rPr/>
      </w:r>
    </w:p>
    <w:p>
      <w:pPr>
        <w:pStyle w:val="Normal"/>
        <w:ind w:hanging="720" w:start="2160" w:end="0"/>
        <w:jc w:val="both"/>
        <w:rPr/>
      </w:pPr>
      <w:r>
        <w:rPr/>
        <w:t>2.</w:t>
        <w:tab/>
        <w:t xml:space="preserve">What direct access load did DWR forecast in entering into its long term power purchase contracts (was that forecast adjusted as DWR continued its contracting activities)   </w:t>
      </w:r>
    </w:p>
    <w:p>
      <w:pPr>
        <w:pStyle w:val="Normal"/>
        <w:ind w:start="1440" w:end="0"/>
        <w:jc w:val="both"/>
        <w:rPr/>
      </w:pPr>
      <w:r>
        <w:rPr/>
      </w:r>
    </w:p>
    <w:p>
      <w:pPr>
        <w:pStyle w:val="Normal"/>
        <w:ind w:hanging="720" w:start="2160" w:end="0"/>
        <w:jc w:val="both"/>
        <w:rPr/>
      </w:pPr>
      <w:r>
        <w:rPr/>
        <w:t>3.</w:t>
        <w:tab/>
        <w:t>Could direct access be helpful in decreasing amount of power that DWR must purchase to cover utilities’ net short position</w:t>
      </w:r>
    </w:p>
    <w:p>
      <w:pPr>
        <w:pStyle w:val="Normal"/>
        <w:ind w:start="1440" w:end="0"/>
        <w:jc w:val="both"/>
        <w:rPr/>
      </w:pPr>
      <w:r>
        <w:rPr/>
        <w:t xml:space="preserve"> </w:t>
      </w:r>
      <w:r>
        <w:rPr>
          <w:b/>
        </w:rPr>
        <w:tab/>
        <w:t xml:space="preserve"> </w:t>
      </w:r>
    </w:p>
    <w:p>
      <w:pPr>
        <w:pStyle w:val="Normal"/>
        <w:ind w:hanging="1440" w:start="1440" w:end="0"/>
        <w:jc w:val="both"/>
        <w:rPr>
          <w:b/>
        </w:rPr>
      </w:pPr>
      <w:r>
        <w:rPr>
          <w:b/>
        </w:rPr>
        <w:tab/>
        <w:tab/>
      </w:r>
    </w:p>
    <w:p>
      <w:pPr>
        <w:pStyle w:val="Normal"/>
        <w:ind w:hanging="720" w:start="2160" w:end="0"/>
        <w:jc w:val="both"/>
        <w:rPr/>
      </w:pPr>
      <w:r>
        <w:rPr/>
        <w:t>4</w:t>
      </w:r>
      <w:r>
        <w:rPr>
          <w:b/>
        </w:rPr>
        <w:t>.</w:t>
        <w:tab/>
      </w:r>
      <w:r>
        <w:rPr/>
        <w:t>Does having a more liberal view of the suspension (e.g., allowing add-ons) result in any significant cost shifting to bundled service customers.  This would involve such factual determinations as:</w:t>
      </w:r>
    </w:p>
    <w:p>
      <w:pPr>
        <w:pStyle w:val="Normal"/>
        <w:ind w:hanging="720" w:start="2160" w:end="0"/>
        <w:jc w:val="both"/>
        <w:rPr/>
      </w:pPr>
      <w:r>
        <w:rPr/>
      </w:r>
    </w:p>
    <w:p>
      <w:pPr>
        <w:pStyle w:val="Normal"/>
        <w:ind w:hanging="720" w:start="2160" w:end="0"/>
        <w:jc w:val="both"/>
        <w:rPr/>
      </w:pPr>
      <w:r>
        <w:rPr/>
        <w:tab/>
      </w:r>
      <w:r>
        <w:rPr>
          <w:rFonts w:eastAsia="Symbol" w:cs="Symbol" w:ascii="Symbol" w:hAnsi="Symbol"/>
        </w:rPr>
        <w:sym w:font="Symbol" w:char="f0b7"/>
      </w:r>
      <w:r>
        <w:rPr/>
        <w:tab/>
        <w:t>What are the terms of DWR’s contracts (price / length)</w:t>
      </w:r>
    </w:p>
    <w:p>
      <w:pPr>
        <w:pStyle w:val="Normal"/>
        <w:ind w:hanging="720" w:start="2160" w:end="0"/>
        <w:jc w:val="both"/>
        <w:rPr/>
      </w:pPr>
      <w:r>
        <w:rPr/>
      </w:r>
    </w:p>
    <w:p>
      <w:pPr>
        <w:pStyle w:val="Normal"/>
        <w:ind w:hanging="720" w:start="2880" w:end="0"/>
        <w:jc w:val="both"/>
        <w:rPr/>
      </w:pPr>
      <w:r>
        <w:rPr>
          <w:rFonts w:eastAsia="Symbol" w:cs="Symbol" w:ascii="Symbol" w:hAnsi="Symbol"/>
        </w:rPr>
        <w:sym w:font="Symbol" w:char="f0b7"/>
      </w:r>
      <w:r>
        <w:rPr/>
        <w:tab/>
        <w:t>What percentage of current DA attrition versus anticipated add- ons will occur; what is the estimated growth of bundled service load.</w:t>
      </w:r>
    </w:p>
    <w:p>
      <w:pPr>
        <w:pStyle w:val="Normal"/>
        <w:ind w:hanging="720" w:start="2880" w:end="0"/>
        <w:jc w:val="both"/>
        <w:rPr/>
      </w:pPr>
      <w:r>
        <w:rPr/>
      </w:r>
    </w:p>
    <w:p>
      <w:pPr>
        <w:pStyle w:val="Normal"/>
        <w:ind w:start="90" w:end="0"/>
        <w:jc w:val="both"/>
        <w:rPr>
          <w:b/>
        </w:rPr>
      </w:pPr>
      <w:r>
        <w:rPr>
          <w:b/>
        </w:rPr>
        <w:t>III.</w:t>
        <w:tab/>
        <w:t>PX CREDIT AUDIT</w:t>
      </w:r>
    </w:p>
    <w:p>
      <w:pPr>
        <w:pStyle w:val="Normal"/>
        <w:ind w:start="90" w:end="0"/>
        <w:jc w:val="both"/>
        <w:rPr>
          <w:b/>
        </w:rPr>
      </w:pPr>
      <w:r>
        <w:rPr>
          <w:b/>
        </w:rPr>
      </w:r>
    </w:p>
    <w:p>
      <w:pPr>
        <w:pStyle w:val="Normal"/>
        <w:ind w:start="720" w:end="0"/>
        <w:jc w:val="both"/>
        <w:rPr/>
      </w:pPr>
      <w:r>
        <w:rPr/>
        <w:t xml:space="preserve">This issue involves whether the UDCs should be allowed to cease doing a PX credit audit after the completion of the year 2000 audit.  Various pleadings have been filed on this; there is no need for a hearing on it. </w:t>
      </w:r>
      <w:r>
        <w:rPr>
          <w:b/>
        </w:rPr>
        <w:tab/>
      </w:r>
    </w:p>
    <w:p>
      <w:pPr>
        <w:pStyle w:val="Normal"/>
        <w:ind w:start="720" w:end="0"/>
        <w:jc w:val="both"/>
        <w:rPr>
          <w:b/>
        </w:rPr>
      </w:pPr>
      <w:r>
        <w:rPr>
          <w:b/>
        </w:rPr>
      </w:r>
    </w:p>
    <w:p>
      <w:pPr>
        <w:pStyle w:val="Normal"/>
        <w:ind w:start="720" w:end="0"/>
        <w:jc w:val="both"/>
        <w:rPr>
          <w:b/>
        </w:rPr>
      </w:pPr>
      <w:r>
        <w:rPr>
          <w:b/>
        </w:rPr>
      </w:r>
    </w:p>
    <w:p>
      <w:pPr>
        <w:pStyle w:val="Normal"/>
        <w:ind w:hanging="630" w:start="720" w:end="0"/>
        <w:jc w:val="both"/>
        <w:rPr/>
      </w:pPr>
      <w:r>
        <w:rPr>
          <w:b/>
        </w:rPr>
        <w:t>IV.</w:t>
        <w:tab/>
        <w:t>POST PX CREDIT CALCULATION</w:t>
      </w:r>
      <w:r>
        <w:rPr/>
        <w:tab/>
      </w:r>
    </w:p>
    <w:p>
      <w:pPr>
        <w:pStyle w:val="Normal"/>
        <w:ind w:hanging="630" w:start="720" w:end="0"/>
        <w:jc w:val="both"/>
        <w:rPr/>
      </w:pPr>
      <w:r>
        <w:rPr/>
      </w:r>
    </w:p>
    <w:p>
      <w:pPr>
        <w:pStyle w:val="Normal"/>
        <w:ind w:start="720" w:end="0"/>
        <w:jc w:val="both"/>
        <w:rPr>
          <w:b/>
        </w:rPr>
      </w:pPr>
      <w:r>
        <w:rPr>
          <w:b/>
        </w:rPr>
        <w:t>A.</w:t>
        <w:tab/>
        <w:t>Overview</w:t>
      </w:r>
    </w:p>
    <w:p>
      <w:pPr>
        <w:pStyle w:val="Normal"/>
        <w:ind w:start="720" w:end="0"/>
        <w:jc w:val="both"/>
        <w:rPr>
          <w:b/>
        </w:rPr>
      </w:pPr>
      <w:r>
        <w:rPr>
          <w:b/>
        </w:rPr>
      </w:r>
    </w:p>
    <w:p>
      <w:pPr>
        <w:pStyle w:val="Normal"/>
        <w:ind w:start="1440" w:end="0"/>
        <w:jc w:val="both"/>
        <w:rPr/>
      </w:pPr>
      <w:r>
        <w:rPr/>
        <w:t>With the Power Exchange ceasing to exist in late January 2001, the issue is what should be the basis for calculating the credit paid to ESPs/ direct access customers.</w:t>
      </w:r>
    </w:p>
    <w:p>
      <w:pPr>
        <w:pStyle w:val="Normal"/>
        <w:ind w:start="720" w:end="0"/>
        <w:jc w:val="both"/>
        <w:rPr/>
      </w:pPr>
      <w:r>
        <w:rPr/>
      </w:r>
    </w:p>
    <w:p>
      <w:pPr>
        <w:pStyle w:val="Normal"/>
        <w:ind w:start="720" w:end="0"/>
        <w:jc w:val="both"/>
        <w:rPr>
          <w:b/>
        </w:rPr>
      </w:pPr>
      <w:r>
        <w:rPr>
          <w:b/>
        </w:rPr>
        <w:t>B.</w:t>
        <w:tab/>
        <w:t>Factual Issues</w:t>
      </w:r>
    </w:p>
    <w:p>
      <w:pPr>
        <w:pStyle w:val="Normal"/>
        <w:ind w:start="720" w:end="0"/>
        <w:jc w:val="both"/>
        <w:rPr>
          <w:b/>
        </w:rPr>
      </w:pPr>
      <w:r>
        <w:rPr>
          <w:b/>
        </w:rPr>
      </w:r>
    </w:p>
    <w:p>
      <w:pPr>
        <w:pStyle w:val="Normal"/>
        <w:ind w:start="720" w:end="0"/>
        <w:jc w:val="both"/>
        <w:rPr/>
      </w:pPr>
      <w:r>
        <w:rPr/>
        <w:tab/>
        <w:t>1.</w:t>
        <w:tab/>
        <w:t>What is the cost of providing energy to bundled service customers.</w:t>
      </w:r>
    </w:p>
    <w:p>
      <w:pPr>
        <w:pStyle w:val="Normal"/>
        <w:ind w:start="720" w:end="0"/>
        <w:jc w:val="both"/>
        <w:rPr/>
      </w:pPr>
      <w:r>
        <w:rPr/>
      </w:r>
    </w:p>
    <w:p>
      <w:pPr>
        <w:pStyle w:val="Normal"/>
        <w:ind w:start="720" w:end="0"/>
        <w:jc w:val="both"/>
        <w:rPr/>
      </w:pPr>
      <w:r>
        <w:rPr/>
        <w:tab/>
        <w:tab/>
        <w:t>a.</w:t>
        <w:tab/>
        <w:t>Cost of UDC retained generation</w:t>
      </w:r>
    </w:p>
    <w:p>
      <w:pPr>
        <w:pStyle w:val="Normal"/>
        <w:ind w:start="720" w:end="0"/>
        <w:jc w:val="both"/>
        <w:rPr/>
      </w:pPr>
      <w:r>
        <w:rPr/>
      </w:r>
    </w:p>
    <w:p>
      <w:pPr>
        <w:pStyle w:val="Normal"/>
        <w:ind w:start="720" w:end="0"/>
        <w:jc w:val="both"/>
        <w:rPr/>
      </w:pPr>
      <w:r>
        <w:rPr/>
        <w:tab/>
        <w:tab/>
        <w:t>b.</w:t>
        <w:tab/>
        <w:t>DWR power purchase costs.</w:t>
      </w:r>
    </w:p>
    <w:p>
      <w:pPr>
        <w:pStyle w:val="Normal"/>
        <w:ind w:start="720" w:end="0"/>
        <w:jc w:val="both"/>
        <w:rPr/>
      </w:pPr>
      <w:r>
        <w:rPr/>
      </w:r>
    </w:p>
    <w:p>
      <w:pPr>
        <w:pStyle w:val="Normal"/>
        <w:ind w:hanging="720" w:start="2160" w:end="0"/>
        <w:jc w:val="both"/>
        <w:rPr/>
      </w:pPr>
      <w:r>
        <w:rPr/>
        <w:t>2.</w:t>
        <w:tab/>
        <w:t>Should a “bottoms up” calculation be implemented retroactively to January so that credit (and CTC payments) are eliminated</w:t>
        <w:tab/>
      </w:r>
    </w:p>
    <w:p>
      <w:pPr>
        <w:pStyle w:val="Normal"/>
        <w:ind w:hanging="720" w:start="2160" w:end="0"/>
        <w:jc w:val="both"/>
        <w:rPr/>
      </w:pPr>
      <w:r>
        <w:rPr/>
      </w:r>
    </w:p>
    <w:p>
      <w:pPr>
        <w:pStyle w:val="Normal"/>
        <w:ind w:hanging="720" w:start="2160" w:end="0"/>
        <w:jc w:val="both"/>
        <w:rPr/>
      </w:pPr>
      <w:r>
        <w:rPr/>
        <w:t>3.</w:t>
        <w:tab/>
        <w:t>Should one-cent surcharge apply to DA customers</w:t>
        <w:tab/>
        <w:tab/>
        <w:tab/>
        <w:t xml:space="preserve"> </w:t>
        <w:tab/>
      </w:r>
    </w:p>
    <w:p>
      <w:pPr>
        <w:pStyle w:val="Normal"/>
        <w:ind w:hanging="720" w:start="2880" w:end="0"/>
        <w:jc w:val="both"/>
        <w:rPr/>
      </w:pPr>
      <w:r>
        <w:rPr/>
      </w:r>
    </w:p>
    <w:p>
      <w:pPr>
        <w:pStyle w:val="Normal"/>
        <w:ind w:hanging="720" w:start="2880" w:end="0"/>
        <w:jc w:val="both"/>
        <w:rPr/>
      </w:pPr>
      <w:r>
        <w:rPr/>
        <w:t xml:space="preserve"> </w:t>
      </w:r>
    </w:p>
    <w:p>
      <w:pPr>
        <w:pStyle w:val="Normal"/>
        <w:ind w:hanging="720" w:start="2160" w:end="0"/>
        <w:jc w:val="both"/>
        <w:rPr/>
      </w:pPr>
      <w:r>
        <w:rPr/>
        <w:t xml:space="preserve"> </w:t>
      </w:r>
      <w:r>
        <w:rPr>
          <w:b/>
        </w:rPr>
        <w:t xml:space="preserve"> </w:t>
      </w:r>
    </w:p>
    <w:p>
      <w:pPr>
        <w:pStyle w:val="Normal"/>
        <w:ind w:hanging="720" w:start="2160" w:end="0"/>
        <w:jc w:val="both"/>
        <w:rPr/>
      </w:pPr>
      <w:r>
        <w:rPr/>
        <w:tab/>
      </w:r>
    </w:p>
    <w:p>
      <w:pPr>
        <w:pStyle w:val="Normal"/>
        <w:jc w:val="both"/>
        <w:rPr/>
      </w:pPr>
      <w:r>
        <w:rPr/>
        <w:tab/>
        <w:tab/>
        <w:t xml:space="preserve">   </w:t>
      </w:r>
    </w:p>
    <w:p>
      <w:pPr>
        <w:pStyle w:val="Normal"/>
        <w:jc w:val="center"/>
        <w:rPr>
          <w:b/>
        </w:rPr>
      </w:pPr>
      <w:r>
        <w:rPr>
          <w:b/>
        </w:rPr>
      </w:r>
    </w:p>
    <w:p>
      <w:pPr>
        <w:pStyle w:val="Normal"/>
        <w:rPr>
          <w:b/>
        </w:rPr>
      </w:pPr>
      <w:r>
        <w:rPr>
          <w:b/>
        </w:rPr>
      </w:r>
    </w:p>
    <w:p>
      <w:pPr>
        <w:pStyle w:val="Normal"/>
        <w:spacing w:lineRule="exact" w:line="200" w:before="240" w:after="0"/>
        <w:rPr/>
      </w:pPr>
      <w:r>
        <w:rPr>
          <w:rStyle w:val="zzmpTrailerItem"/>
        </w:rPr>
        <w:t>2704/009/X29077-1</w:t>
      </w:r>
      <w:r>
        <w:rPr/>
        <w:t xml:space="preserve"> </w:t>
      </w:r>
    </w:p>
    <w:sectPr>
      <w:headerReference w:type="default" r:id="rId2"/>
      <w:type w:val="nextPage"/>
      <w:pgSz w:w="12240" w:h="15840"/>
      <w:pgMar w:left="1440" w:right="1440" w:gutter="0" w:header="1440" w:top="1496"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907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2001-11-06T13:45:00Z</dcterms:created>
  <dc:creator>JMB</dc:creator>
  <dc:description/>
  <dc:language>en-CA</dc:language>
  <cp:lastModifiedBy>JMB</cp:lastModifiedBy>
  <dcterms:modified xsi:type="dcterms:W3CDTF">2001-11-06T13:45:00Z</dcterms:modified>
  <cp:revision>2</cp:revision>
  <dc:subject/>
  <dc:title/>
</cp:coreProperties>
</file>