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ASSESSMENT OF ONE CENT SURCHARGE</w:t>
      </w:r>
    </w:p>
    <w:p>
      <w:pPr>
        <w:pStyle w:val="BodyText"/>
        <w:jc w:val="center"/>
        <w:rPr>
          <w:b/>
        </w:rPr>
      </w:pPr>
      <w:r>
        <w:rPr>
          <w:b/>
        </w:rPr>
        <w:t xml:space="preserve"> </w:t>
      </w:r>
      <w:r>
        <w:rPr>
          <w:b/>
        </w:rPr>
        <w:t>ON DIRECT ACCESS CUSTOMERS</w:t>
      </w:r>
    </w:p>
    <w:p>
      <w:pPr>
        <w:pStyle w:val="BodyText"/>
        <w:ind w:hanging="720" w:start="720" w:end="0"/>
        <w:jc w:val="both"/>
        <w:rPr>
          <w:b/>
        </w:rPr>
      </w:pPr>
      <w:r>
        <w:rPr>
          <w:b/>
        </w:rPr>
      </w:r>
    </w:p>
    <w:p>
      <w:pPr>
        <w:pStyle w:val="BodyText"/>
        <w:ind w:hanging="720" w:start="720" w:end="0"/>
        <w:jc w:val="both"/>
        <w:rPr/>
      </w:pPr>
      <w:r>
        <w:rPr>
          <w:rFonts w:eastAsia="Symbol" w:cs="Symbol" w:ascii="Symbol" w:hAnsi="Symbol"/>
        </w:rPr>
        <w:sym w:font="Symbol" w:char="f0b7"/>
      </w:r>
      <w:r>
        <w:rPr/>
        <w:tab/>
        <w:t>Decision 01-01-018 established the one-cent per kWh surcharge (“Emergency Procurement Surcharge”) and expressly made it applicable to direct access customers.</w:t>
      </w:r>
    </w:p>
    <w:p>
      <w:pPr>
        <w:pStyle w:val="BodyText"/>
        <w:ind w:hanging="720" w:start="720" w:end="0"/>
        <w:jc w:val="both"/>
        <w:rPr/>
      </w:pPr>
      <w:r>
        <w:rPr>
          <w:rFonts w:eastAsia="Symbol" w:cs="Symbol" w:ascii="Symbol" w:hAnsi="Symbol"/>
        </w:rPr>
        <w:sym w:font="Symbol" w:char="f0b7"/>
      </w:r>
      <w:r>
        <w:rPr/>
        <w:tab/>
        <w:t>Decision 01-01-018 also directed PG&amp;E and SCE to establish balancing accounts to track the revenue accruing from the EPS and “apply these revenues to ongoing wholesale procurement costs.”</w:t>
      </w:r>
    </w:p>
    <w:p>
      <w:pPr>
        <w:pStyle w:val="BodyText"/>
        <w:ind w:hanging="720" w:start="720" w:end="0"/>
        <w:jc w:val="both"/>
        <w:rPr/>
      </w:pPr>
      <w:r>
        <w:rPr>
          <w:rFonts w:eastAsia="Symbol" w:cs="Symbol" w:ascii="Symbol" w:hAnsi="Symbol"/>
        </w:rPr>
        <w:sym w:font="Symbol" w:char="f0b7"/>
      </w:r>
      <w:r>
        <w:rPr/>
        <w:tab/>
        <w:t>Decision 01-03-082 made the one-cent surcharge permanent. The decision reiterated that the revenues the utilities had collected and will continue to collect from the one cent per kWh rate increase must be used to pay for power purchased and not for any other costs incurred by the utilities.</w:t>
      </w:r>
    </w:p>
    <w:p>
      <w:pPr>
        <w:pStyle w:val="BodyText"/>
        <w:ind w:hanging="720" w:start="720" w:end="0"/>
        <w:jc w:val="both"/>
        <w:rPr/>
      </w:pPr>
      <w:r>
        <w:rPr>
          <w:rFonts w:eastAsia="Symbol" w:cs="Symbol" w:ascii="Symbol" w:hAnsi="Symbol"/>
        </w:rPr>
        <w:sym w:font="Symbol" w:char="f0b7"/>
      </w:r>
      <w:r>
        <w:rPr/>
        <w:tab/>
        <w:t>Decision 01-03-082 granted an additional three cents per kWh for SCE and PG&amp;E.  The three-cent surcharge was to be applied to power costs after the effective date of the decision.  At this point both the one cent and three cent surcharges were intended to be used for the same purpose—paying for purchased power used to supply bundled utility customers.</w:t>
      </w:r>
    </w:p>
    <w:p>
      <w:pPr>
        <w:pStyle w:val="BodyText"/>
        <w:ind w:hanging="720" w:start="720" w:end="0"/>
        <w:jc w:val="both"/>
        <w:rPr/>
      </w:pPr>
      <w:r>
        <w:rPr>
          <w:rFonts w:eastAsia="Symbol" w:cs="Symbol" w:ascii="Symbol" w:hAnsi="Symbol"/>
        </w:rPr>
        <w:sym w:font="Symbol" w:char="f0b7"/>
      </w:r>
      <w:r>
        <w:rPr/>
        <w:tab/>
        <w:t>Decision 01-05-064 expressly exempted direct access customers from payment of the three-cent surcharge.  The Commission stated that “direct access customers are not relying on utilities or DWR to purchase power on their behalf. The surcharge adopted in D. 01-03-082 is intended to provide payment for DWR purchases which do not include purchases made by direct access customers.”  The Commission’s reference to “surcharge” can be interpreted to mean both the one cent and three cent surcharges given that both surcharges were granted similar treatment in D.01-03-082.</w:t>
      </w:r>
    </w:p>
    <w:p>
      <w:pPr>
        <w:pStyle w:val="BodyText"/>
        <w:ind w:hanging="720" w:start="720" w:end="0"/>
        <w:jc w:val="both"/>
        <w:rPr/>
      </w:pPr>
      <w:r>
        <w:rPr>
          <w:rFonts w:eastAsia="Symbol" w:cs="Symbol" w:ascii="Symbol" w:hAnsi="Symbol"/>
        </w:rPr>
        <w:sym w:font="Symbol" w:char="f0b7"/>
      </w:r>
      <w:r>
        <w:rPr/>
        <w:tab/>
        <w:t xml:space="preserve">SCE has not been assessing Enron’s direct access customers either the one-cent or three-cent surcharge. </w:t>
      </w:r>
    </w:p>
    <w:p>
      <w:pPr>
        <w:pStyle w:val="BodyText"/>
        <w:ind w:hanging="720" w:start="720" w:end="0"/>
        <w:jc w:val="both"/>
        <w:rPr/>
      </w:pPr>
      <w:r>
        <w:rPr>
          <w:rFonts w:eastAsia="Symbol" w:cs="Symbol" w:ascii="Symbol" w:hAnsi="Symbol"/>
        </w:rPr>
        <w:sym w:font="Symbol" w:char="f0b7"/>
      </w:r>
      <w:r>
        <w:rPr/>
        <w:tab/>
        <w:t>The rationale used by the Commission in expressly not applying the three-cent surcharge to direct access customers is equally applicable to the one-cent surcharge.</w:t>
      </w:r>
    </w:p>
    <w:p>
      <w:pPr>
        <w:pStyle w:val="BodyText"/>
        <w:ind w:hanging="720" w:start="720" w:end="0"/>
        <w:jc w:val="both"/>
        <w:rPr/>
      </w:pPr>
      <w:r>
        <w:rPr>
          <w:rFonts w:eastAsia="Symbol" w:cs="Symbol" w:ascii="Symbol" w:hAnsi="Symbol"/>
        </w:rPr>
        <w:sym w:font="Symbol" w:char="f0b7"/>
      </w:r>
      <w:r>
        <w:rPr/>
        <w:tab/>
        <w:t xml:space="preserve">Both the one-cent and three-cent surcharges are, in accord with the Commission’s directives, to be applied toward paying for ongoing power purchase costs incurred by the utilities and/or DWR.  Neither the utilities nor DWR are purchasing power on behalf of direct access customers.     </w:t>
      </w:r>
    </w:p>
    <w:p>
      <w:pPr>
        <w:pStyle w:val="BodyText"/>
        <w:ind w:hanging="720" w:start="720" w:end="0"/>
        <w:jc w:val="both"/>
        <w:rPr/>
      </w:pPr>
      <w:r>
        <w:rPr/>
        <w:t xml:space="preserve"> </w:t>
      </w:r>
    </w:p>
    <w:p>
      <w:pPr>
        <w:pStyle w:val="BodyText"/>
        <w:ind w:hanging="720" w:start="720" w:end="0"/>
        <w:jc w:val="both"/>
        <w:rPr/>
      </w:pPr>
      <w:r>
        <w:rPr/>
        <w:tab/>
      </w:r>
    </w:p>
    <w:p>
      <w:pPr>
        <w:pStyle w:val="BodyText"/>
        <w:ind w:hanging="720" w:start="720" w:end="0"/>
        <w:jc w:val="both"/>
        <w:rPr/>
      </w:pPr>
      <w:r>
        <w:rPr/>
      </w:r>
    </w:p>
    <w:p>
      <w:pPr>
        <w:pStyle w:val="Normal"/>
        <w:spacing w:lineRule="exact" w:line="200" w:before="240" w:after="0"/>
        <w:rPr/>
      </w:pPr>
      <w:r>
        <w:rPr>
          <w:rStyle w:val="zzmpTrailerItem"/>
        </w:rPr>
        <w:t>2704/009/X28655-1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865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2001-10-19T17:01:00Z</dcterms:created>
  <dc:creator>JMB</dc:creator>
  <dc:description>Rev. March 13, 1998 10:52:02</dc:description>
  <dc:language>en-CA</dc:language>
  <cp:lastModifiedBy>MBD</cp:lastModifiedBy>
  <cp:lastPrinted>2001-10-19T12:18:00Z</cp:lastPrinted>
  <dcterms:modified xsi:type="dcterms:W3CDTF">2001-10-19T17:01:00Z</dcterms:modified>
  <cp:revision>2</cp:revision>
  <dc:subject/>
  <dc:title>ASSESSMENT OF ONE CENT SURCHARGE</dc:title>
</cp:coreProperties>
</file>