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numbering.xml" ContentType="application/vnd.openxmlformats-officedocument.wordprocessingml.numbering+xml"/>
  <Override PartName="/word/fontTable.xml" ContentType="application/vnd.openxmlformats-officedocument.wordprocessingml.fontTable+xml"/>
  <Override PartName="/word/footnotes.xml" ContentType="application/vnd.openxmlformats-officedocument.wordprocessingml.footnotes+xml"/>
  <Override PartName="/word/footer1.xml" ContentType="application/vnd.openxmlformats-officedocument.wordprocessingml.footer+xml"/>
  <Override PartName="/word/header4.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header1.xml" ContentType="application/vnd.openxmlformats-officedocument.wordprocessingml.header+xml"/>
  <Override PartName="/word/styles.xml" ContentType="application/vnd.openxmlformats-officedocument.wordprocessingml.styles+xml"/>
  <Override PartName="/word/document.xml" ContentType="application/vnd.openxmlformats-officedocument.wordprocessingml.document.main+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exact" w:line="480" w:before="0" w:after="720"/>
        <w:jc w:val="center"/>
        <w:rPr/>
      </w:pPr>
      <w:r>
        <w:rPr/>
        <w:t>BEFORE THE PUBLIC UTILITIES COMMISSION</w:t>
        <w:br/>
        <w:t>OF THE STATE OF CALIFORNIA</w:t>
      </w:r>
    </w:p>
    <w:tbl>
      <w:tblPr>
        <w:tblW w:w="9072" w:type="dxa"/>
        <w:jc w:val="start"/>
        <w:tblInd w:w="0" w:type="dxa"/>
        <w:tblLayout w:type="fixed"/>
        <w:tblCellMar>
          <w:top w:w="0" w:type="dxa"/>
          <w:start w:w="108" w:type="dxa"/>
          <w:bottom w:w="0" w:type="dxa"/>
          <w:end w:w="108" w:type="dxa"/>
        </w:tblCellMar>
      </w:tblPr>
      <w:tblGrid>
        <w:gridCol w:w="5688"/>
        <w:gridCol w:w="3384"/>
      </w:tblGrid>
      <w:tr>
        <w:trPr/>
        <w:tc>
          <w:tcPr>
            <w:tcW w:w="5688" w:type="dxa"/>
            <w:tcBorders>
              <w:end w:val="single" w:sz="6" w:space="0" w:color="000000"/>
            </w:tcBorders>
          </w:tcPr>
          <w:p>
            <w:pPr>
              <w:pStyle w:val="Normal"/>
              <w:spacing w:before="0" w:after="240"/>
              <w:rPr/>
            </w:pPr>
            <w:r>
              <w:rPr/>
              <w:t>Investigation on the Commission’s Own Motion to Consider the Costs and Benefits of Various Promising Revisions to the Regulatory and Market Structure Governing California’s Natural Gas Industry and to Report to the California Legislature on the Commission’s Findings.</w:t>
            </w:r>
          </w:p>
          <w:p>
            <w:pPr>
              <w:pStyle w:val="Normal"/>
              <w:rPr/>
            </w:pPr>
            <w:r>
              <w:rPr/>
            </w:r>
          </w:p>
        </w:tc>
        <w:tc>
          <w:tcPr>
            <w:tcW w:w="3384" w:type="dxa"/>
            <w:tcBorders/>
          </w:tcPr>
          <w:p>
            <w:pPr>
              <w:pStyle w:val="Normal"/>
              <w:tabs>
                <w:tab w:val="clear" w:pos="720"/>
                <w:tab w:val="left" w:pos="1872" w:leader="none"/>
              </w:tabs>
              <w:snapToGrid w:val="false"/>
              <w:jc w:val="center"/>
              <w:rPr/>
            </w:pPr>
            <w:r>
              <w:rPr/>
            </w:r>
          </w:p>
          <w:p>
            <w:pPr>
              <w:pStyle w:val="Normal"/>
              <w:tabs>
                <w:tab w:val="clear" w:pos="720"/>
                <w:tab w:val="left" w:pos="1872" w:leader="none"/>
              </w:tabs>
              <w:rPr/>
            </w:pPr>
            <w:r>
              <w:rPr/>
              <w:t xml:space="preserve">               </w:t>
            </w:r>
            <w:r>
              <w:rPr/>
              <w:t>I.99-07-003</w:t>
            </w:r>
          </w:p>
        </w:tc>
      </w:tr>
    </w:tbl>
    <w:p>
      <w:pPr>
        <w:pStyle w:val="Normal"/>
        <w:rPr>
          <w:b/>
        </w:rPr>
      </w:pPr>
      <w:r>
        <w:rPr>
          <w:b/>
        </w:rPr>
      </w:r>
    </w:p>
    <w:p>
      <w:pPr>
        <w:pStyle w:val="Normal"/>
        <w:rPr>
          <w:b/>
        </w:rPr>
      </w:pPr>
      <w:r>
        <w:rPr>
          <w:b/>
        </w:rPr>
      </w:r>
    </w:p>
    <w:p>
      <w:pPr>
        <w:pStyle w:val="Normal"/>
        <w:rPr>
          <w:b/>
        </w:rPr>
      </w:pPr>
      <w:r>
        <w:rPr>
          <w:b/>
        </w:rPr>
      </w:r>
    </w:p>
    <w:p>
      <w:pPr>
        <w:pStyle w:val="Normal"/>
        <w:rPr>
          <w:b/>
        </w:rPr>
      </w:pPr>
      <w:r>
        <w:rPr>
          <w:b/>
        </w:rPr>
      </w:r>
    </w:p>
    <w:p>
      <w:pPr>
        <w:pStyle w:val="Normal"/>
        <w:rPr>
          <w:b/>
        </w:rPr>
      </w:pPr>
      <w:r>
        <w:rPr>
          <w:b/>
        </w:rPr>
      </w:r>
    </w:p>
    <w:p>
      <w:pPr>
        <w:pStyle w:val="Normal"/>
        <w:numPr>
          <w:ilvl w:val="0"/>
          <w:numId w:val="0"/>
        </w:numPr>
        <w:jc w:val="center"/>
        <w:outlineLvl w:val="0"/>
        <w:rPr>
          <w:b/>
        </w:rPr>
      </w:pPr>
      <w:r>
        <w:rPr>
          <w:b/>
        </w:rPr>
        <w:t>COMMENTS OF WILD GOOSE STORAGE INC.,</w:t>
      </w:r>
    </w:p>
    <w:p>
      <w:pPr>
        <w:pStyle w:val="Normal"/>
        <w:numPr>
          <w:ilvl w:val="0"/>
          <w:numId w:val="0"/>
        </w:numPr>
        <w:jc w:val="center"/>
        <w:outlineLvl w:val="0"/>
        <w:rPr>
          <w:b/>
        </w:rPr>
      </w:pPr>
      <w:r>
        <w:rPr>
          <w:b/>
        </w:rPr>
        <w:t xml:space="preserve">ENRON ENERGY SERVICES, INC., AND ENRON NORTH AMERICA CORP. </w:t>
      </w:r>
    </w:p>
    <w:p>
      <w:pPr>
        <w:pStyle w:val="Normal"/>
        <w:numPr>
          <w:ilvl w:val="0"/>
          <w:numId w:val="0"/>
        </w:numPr>
        <w:jc w:val="center"/>
        <w:outlineLvl w:val="0"/>
        <w:rPr>
          <w:b/>
        </w:rPr>
      </w:pPr>
      <w:r>
        <w:rPr>
          <w:b/>
        </w:rPr>
        <w:t>ON THE REVISED PROPOSED DECISION</w:t>
      </w:r>
    </w:p>
    <w:p>
      <w:pPr>
        <w:pStyle w:val="Normal"/>
        <w:rPr>
          <w:b/>
        </w:rPr>
      </w:pPr>
      <w:r>
        <w:rPr>
          <w:b/>
        </w:rPr>
      </w:r>
    </w:p>
    <w:p>
      <w:pPr>
        <w:pStyle w:val="Normal"/>
        <w:rPr>
          <w:b/>
        </w:rPr>
      </w:pPr>
      <w:r>
        <w:rPr>
          <w:b/>
        </w:rPr>
      </w:r>
    </w:p>
    <w:p>
      <w:pPr>
        <w:pStyle w:val="Normal"/>
        <w:rPr>
          <w:b/>
        </w:rPr>
      </w:pPr>
      <w:r>
        <w:rPr>
          <w:b/>
        </w:rPr>
      </w:r>
    </w:p>
    <w:p>
      <w:pPr>
        <w:pStyle w:val="Normal"/>
        <w:rPr>
          <w:b/>
        </w:rPr>
      </w:pPr>
      <w:r>
        <w:rPr>
          <w:b/>
        </w:rPr>
      </w:r>
    </w:p>
    <w:p>
      <w:pPr>
        <w:pStyle w:val="Normal"/>
        <w:rPr>
          <w:b/>
        </w:rPr>
      </w:pPr>
      <w:r>
        <w:rPr>
          <w:b/>
        </w:rPr>
      </w:r>
    </w:p>
    <w:p>
      <w:pPr>
        <w:pStyle w:val="Normal"/>
        <w:rPr>
          <w:b/>
        </w:rPr>
      </w:pPr>
      <w:r>
        <w:rPr>
          <w:b/>
        </w:rPr>
      </w:r>
    </w:p>
    <w:p>
      <w:pPr>
        <w:pStyle w:val="Normal"/>
        <w:rPr>
          <w:b/>
        </w:rPr>
      </w:pPr>
      <w:r>
        <w:rPr>
          <w:b/>
        </w:rPr>
      </w:r>
    </w:p>
    <w:p>
      <w:pPr>
        <w:pStyle w:val="Normal"/>
        <w:rPr>
          <w:b/>
        </w:rPr>
      </w:pPr>
      <w:r>
        <w:rPr>
          <w:b/>
        </w:rPr>
      </w:r>
    </w:p>
    <w:p>
      <w:pPr>
        <w:pStyle w:val="Normal"/>
        <w:rPr>
          <w:b/>
        </w:rPr>
      </w:pPr>
      <w:r>
        <w:rPr>
          <w:b/>
        </w:rPr>
      </w:r>
    </w:p>
    <w:p>
      <w:pPr>
        <w:pStyle w:val="Normal"/>
        <w:rPr>
          <w:b/>
        </w:rPr>
      </w:pPr>
      <w:r>
        <w:rPr>
          <w:b/>
        </w:rPr>
      </w:r>
    </w:p>
    <w:p>
      <w:pPr>
        <w:pStyle w:val="Normal"/>
        <w:rPr>
          <w:b/>
        </w:rPr>
      </w:pPr>
      <w:r>
        <w:rPr>
          <w:b/>
        </w:rPr>
      </w:r>
    </w:p>
    <w:p>
      <w:pPr>
        <w:pStyle w:val="Normal"/>
        <w:rPr>
          <w:b/>
        </w:rPr>
      </w:pPr>
      <w:r>
        <w:rPr>
          <w:b/>
        </w:rPr>
      </w:r>
    </w:p>
    <w:tbl>
      <w:tblPr>
        <w:tblW w:w="10170" w:type="dxa"/>
        <w:jc w:val="start"/>
        <w:tblInd w:w="0" w:type="dxa"/>
        <w:tblLayout w:type="fixed"/>
        <w:tblCellMar>
          <w:top w:w="0" w:type="dxa"/>
          <w:start w:w="0" w:type="dxa"/>
          <w:bottom w:w="0" w:type="dxa"/>
          <w:end w:w="0" w:type="dxa"/>
        </w:tblCellMar>
      </w:tblPr>
      <w:tblGrid>
        <w:gridCol w:w="5130"/>
        <w:gridCol w:w="5040"/>
      </w:tblGrid>
      <w:tr>
        <w:trPr/>
        <w:tc>
          <w:tcPr>
            <w:tcW w:w="5130" w:type="dxa"/>
            <w:tcBorders/>
            <w:vAlign w:val="bottom"/>
          </w:tcPr>
          <w:p>
            <w:pPr>
              <w:pStyle w:val="Normal"/>
              <w:spacing w:before="120" w:after="0"/>
              <w:rPr/>
            </w:pPr>
            <w:r>
              <w:rPr/>
              <w:t>Date:  December 11, 2000</w:t>
            </w:r>
          </w:p>
        </w:tc>
        <w:tc>
          <w:tcPr>
            <w:tcW w:w="5040" w:type="dxa"/>
            <w:tcBorders/>
            <w:vAlign w:val="bottom"/>
          </w:tcPr>
          <w:p>
            <w:pPr>
              <w:pStyle w:val="Normal"/>
              <w:rPr/>
            </w:pPr>
            <w:r>
              <w:rPr/>
              <w:t>GOODIN, MACBRIDE, SQUERI,</w:t>
              <w:br/>
              <w:t>RITCHIE &amp; DAY, LLP</w:t>
            </w:r>
          </w:p>
          <w:p>
            <w:pPr>
              <w:pStyle w:val="Normal"/>
              <w:rPr/>
            </w:pPr>
            <w:r>
              <w:rPr/>
              <w:t>Michael B. Day</w:t>
            </w:r>
          </w:p>
          <w:p>
            <w:pPr>
              <w:pStyle w:val="Normal"/>
              <w:rPr/>
            </w:pPr>
            <w:r>
              <w:rPr/>
              <w:t>505 Sansome Street, Suite 900</w:t>
              <w:br/>
              <w:t>San Francisco, CA  94111</w:t>
              <w:br/>
              <w:t>Telephone:</w:t>
              <w:tab/>
              <w:t>(415) 392-7900</w:t>
              <w:br/>
              <w:t>Facsimile:</w:t>
              <w:tab/>
              <w:t>(415) 398-4321</w:t>
            </w:r>
          </w:p>
          <w:p>
            <w:pPr>
              <w:pStyle w:val="Normal"/>
              <w:spacing w:before="240" w:after="0"/>
              <w:rPr/>
            </w:pPr>
            <w:r>
              <w:rPr/>
              <w:t>Attorneys for Wild Goose Storage Inc.</w:t>
            </w:r>
          </w:p>
        </w:tc>
      </w:tr>
    </w:tbl>
    <w:p>
      <w:pPr>
        <w:sectPr>
          <w:headerReference w:type="default" r:id="rId2"/>
          <w:headerReference w:type="first" r:id="rId3"/>
          <w:type w:val="nextPage"/>
          <w:pgSz w:w="12240" w:h="15840"/>
          <w:pgMar w:left="1440" w:right="1440" w:gutter="0" w:header="432" w:top="1440" w:footer="0" w:bottom="1440"/>
          <w:pgNumType w:fmt="decimal"/>
          <w:formProt w:val="false"/>
          <w:titlePg/>
          <w:textDirection w:val="lrTb"/>
          <w:docGrid w:type="default" w:linePitch="360" w:charSpace="0"/>
        </w:sectPr>
      </w:pPr>
    </w:p>
    <w:p>
      <w:pPr>
        <w:pStyle w:val="Normal"/>
        <w:spacing w:lineRule="exact" w:line="480" w:before="0" w:after="720"/>
        <w:jc w:val="center"/>
        <w:rPr/>
      </w:pPr>
      <w:r>
        <w:rPr/>
        <w:t>BEFORE THE PUBLIC UTILITIES COMMISSION</w:t>
        <w:br/>
        <w:t>OF THE STATE OF CALIFORNIA</w:t>
      </w:r>
    </w:p>
    <w:tbl>
      <w:tblPr>
        <w:tblW w:w="9072" w:type="dxa"/>
        <w:jc w:val="start"/>
        <w:tblInd w:w="0" w:type="dxa"/>
        <w:tblLayout w:type="fixed"/>
        <w:tblCellMar>
          <w:top w:w="0" w:type="dxa"/>
          <w:start w:w="108" w:type="dxa"/>
          <w:bottom w:w="0" w:type="dxa"/>
          <w:end w:w="108" w:type="dxa"/>
        </w:tblCellMar>
      </w:tblPr>
      <w:tblGrid>
        <w:gridCol w:w="5688"/>
        <w:gridCol w:w="3384"/>
      </w:tblGrid>
      <w:tr>
        <w:trPr/>
        <w:tc>
          <w:tcPr>
            <w:tcW w:w="5688" w:type="dxa"/>
            <w:tcBorders>
              <w:end w:val="single" w:sz="6" w:space="0" w:color="000000"/>
            </w:tcBorders>
          </w:tcPr>
          <w:p>
            <w:pPr>
              <w:pStyle w:val="Normal"/>
              <w:spacing w:before="0" w:after="240"/>
              <w:rPr/>
            </w:pPr>
            <w:r>
              <w:rPr/>
              <w:t>. Investigation on the Commission’s Own Motion to Consider the Costs and Benefits of Various Promising Revisions to the Regulatory and Market Structure Governing California’s Natural Gas Industry and to Report to the California Legislature on the Commission’s Findings.</w:t>
            </w:r>
          </w:p>
        </w:tc>
        <w:tc>
          <w:tcPr>
            <w:tcW w:w="3384" w:type="dxa"/>
            <w:tcBorders/>
          </w:tcPr>
          <w:p>
            <w:pPr>
              <w:pStyle w:val="Normal"/>
              <w:tabs>
                <w:tab w:val="clear" w:pos="720"/>
                <w:tab w:val="left" w:pos="1872" w:leader="none"/>
              </w:tabs>
              <w:snapToGrid w:val="false"/>
              <w:jc w:val="center"/>
              <w:rPr/>
            </w:pPr>
            <w:r>
              <w:rPr/>
            </w:r>
          </w:p>
          <w:p>
            <w:pPr>
              <w:pStyle w:val="Normal"/>
              <w:tabs>
                <w:tab w:val="clear" w:pos="720"/>
                <w:tab w:val="left" w:pos="1872" w:leader="none"/>
              </w:tabs>
              <w:rPr/>
            </w:pPr>
            <w:r>
              <w:rPr/>
            </w:r>
          </w:p>
          <w:p>
            <w:pPr>
              <w:pStyle w:val="Normal"/>
              <w:tabs>
                <w:tab w:val="clear" w:pos="720"/>
                <w:tab w:val="left" w:pos="1872" w:leader="none"/>
              </w:tabs>
              <w:rPr/>
            </w:pPr>
            <w:r>
              <w:rPr/>
              <w:t xml:space="preserve">             </w:t>
            </w:r>
            <w:r>
              <w:rPr/>
              <w:t>I.99-07-003</w:t>
            </w:r>
          </w:p>
        </w:tc>
      </w:tr>
    </w:tbl>
    <w:p>
      <w:pPr>
        <w:pStyle w:val="Normal"/>
        <w:rPr/>
      </w:pPr>
      <w:r>
        <w:rPr/>
      </w:r>
    </w:p>
    <w:p>
      <w:pPr>
        <w:pStyle w:val="Normal"/>
        <w:rPr/>
      </w:pPr>
      <w:r>
        <w:rPr/>
      </w:r>
    </w:p>
    <w:p>
      <w:pPr>
        <w:pStyle w:val="BodyText"/>
        <w:rPr/>
      </w:pPr>
      <w:r>
        <w:rPr/>
      </w:r>
    </w:p>
    <w:p>
      <w:pPr>
        <w:pStyle w:val="Normal"/>
        <w:numPr>
          <w:ilvl w:val="0"/>
          <w:numId w:val="0"/>
        </w:numPr>
        <w:jc w:val="center"/>
        <w:outlineLvl w:val="0"/>
        <w:rPr>
          <w:b/>
        </w:rPr>
      </w:pPr>
      <w:r>
        <w:rPr>
          <w:b/>
        </w:rPr>
        <w:t>COMMENTS OF WILD GOOSE STORAGE INC.,</w:t>
      </w:r>
    </w:p>
    <w:p>
      <w:pPr>
        <w:pStyle w:val="Normal"/>
        <w:numPr>
          <w:ilvl w:val="0"/>
          <w:numId w:val="0"/>
        </w:numPr>
        <w:jc w:val="center"/>
        <w:outlineLvl w:val="0"/>
        <w:rPr>
          <w:b/>
        </w:rPr>
      </w:pPr>
      <w:r>
        <w:rPr>
          <w:b/>
        </w:rPr>
        <w:t>ENRON ENERGY SERVICES, INC., AND ENRON NORTH AMERICA CORP.</w:t>
      </w:r>
    </w:p>
    <w:p>
      <w:pPr>
        <w:pStyle w:val="Normal"/>
        <w:numPr>
          <w:ilvl w:val="0"/>
          <w:numId w:val="0"/>
        </w:numPr>
        <w:jc w:val="center"/>
        <w:outlineLvl w:val="0"/>
        <w:rPr>
          <w:b/>
        </w:rPr>
      </w:pPr>
      <w:r>
        <w:rPr>
          <w:b/>
        </w:rPr>
        <w:t>ON THE REVISED PROPOSED DECISION</w:t>
      </w:r>
    </w:p>
    <w:p>
      <w:pPr>
        <w:pStyle w:val="BodyText"/>
        <w:rPr>
          <w:b/>
        </w:rPr>
      </w:pPr>
      <w:r>
        <w:rPr>
          <w:b/>
        </w:rPr>
      </w:r>
    </w:p>
    <w:p>
      <w:pPr>
        <w:pStyle w:val="Normal"/>
        <w:spacing w:lineRule="auto" w:line="480"/>
        <w:ind w:firstLine="1440" w:end="0"/>
        <w:rPr/>
      </w:pPr>
      <w:r>
        <w:rPr/>
        <w:t xml:space="preserve">Wild Goose Storage Inc. (“WGSI”), Enron Energy Services, Inc., and Enron north America Corp. (collectively “Enron”) herewith submit their comments on the Revised Proposed Decision of Assigned Commissioner Bilas in the Gas Industry Restructuring Investigation (commonly referred to as the “GRI proceeding”) in compliance with Rule 77 of the Commission’s Rules of Practice and Procedure.  WGSI and Enron were both signatories to the Comprehensive Settlement Agreement (“CSA”), filed in the above-captioned proceeding on April 17, 2000.  Subsequently,  WGSI and Enron opposed the original Proposed Decision in this proceeding, as it declined to adopt the CSA, and instead proposed to adopt the Interim Settlement (which WGSI and Enron did not support) and to adopt certain other elements of competing settlements with regard to retail market issues and core interstate capacity unbundling.  </w:t>
      </w:r>
    </w:p>
    <w:p>
      <w:pPr>
        <w:pStyle w:val="Normal"/>
        <w:spacing w:lineRule="auto" w:line="480"/>
        <w:ind w:firstLine="1440" w:end="0"/>
        <w:rPr/>
      </w:pPr>
      <w:r>
        <w:rPr/>
        <w:t>Now, however, in the fullness of time, the Assigned Commissioner has issued a Revised Proposed Decision (“RPD”) which adopts the sum and substance of the CSA, with relatively minor changes, mainly related to retaining core capacity rights and reservations.  WGSI and Enron offer their firm support for the Revised Proposed Decision.  Notwithstanding the relatively few differences between the CSA and the RPD crafted by the Assigned Commissioner, this order would represent a giant step toward establishing a uniform and consistent regulatory framework for natural gas service over the entire State of California.  Such an accomplishment would be of great benefit to all gas consumers in the state, as the record in this proceeding demonstrates that the unbundling of gas transmission, storage, and balancing service, while retaining state regulatory oversight, results in more efficient and less costly gas service for all classes of customers.</w:t>
      </w:r>
    </w:p>
    <w:p>
      <w:pPr>
        <w:pStyle w:val="Normal"/>
        <w:spacing w:lineRule="auto" w:line="480"/>
        <w:ind w:firstLine="1440" w:end="0"/>
        <w:rPr>
          <w:u w:val="single"/>
        </w:rPr>
      </w:pPr>
      <w:r>
        <w:rPr>
          <w:u w:val="single"/>
        </w:rPr>
        <w:t>The CSA Provides End Users With Valuable New Rights and Services</w:t>
      </w:r>
    </w:p>
    <w:p>
      <w:pPr>
        <w:pStyle w:val="Normal"/>
        <w:spacing w:lineRule="auto" w:line="480"/>
        <w:ind w:firstLine="1440" w:end="0"/>
        <w:rPr/>
      </w:pPr>
      <w:r>
        <w:rPr/>
        <w:t>Without duplicating the voluminous comments and briefs filed by WGSI and Enron in this proceeding,  it is worth taking the time to recite the major benefits to customers that would follow from the adoption of the CSA by the Revised Proposed Decision.  Under the CSA customers would have the opportunity to bid for firm capacity at the existing SoCalGas interconnection points.  They could also contract for firm intrastate transmission capacity using one of two rate designs (SFV rate design or 50% fixed-50% volumetric rate design), and they would be able to take interruptible capacity priced at rates capped at 120% of the standard firm service rate.  In addition, storage would be substantially unbundled for core customers as well as noncore customers.  Finally, customers could either retain their existing balancing flexibility (up to 10% imbalance monthly) or reduce their balancing charges in exchange for a more restrictive daily balancing system similar to that adopted on the PG&amp;E system.  These new options and services all provide customers with new and important tools for managing their gas supply.  The firm interconnection rights and firm intrastate capacity, in particular, will give customers a degree of certainty about the delivery of their gas that has been desperately needed in Southern California.   Another advantage of the CSA is the ability of all customers to buy and sell gas at a true citygate market, instead of only at the border.  As detailed in the testimony of witness Tom Beach for Watson Cogeneration, citygate prices on the PG&amp;E system, which is already operating under the type of unbundled system proposed in the CSA, are consistently more attractive than the prices at the Arizona border plus Baja path transportation charges.  After reexamining the record in this case, the RPD concurs in this assessment.  See RPD at 49.</w:t>
      </w:r>
    </w:p>
    <w:p>
      <w:pPr>
        <w:pStyle w:val="Normal"/>
        <w:spacing w:lineRule="auto" w:line="480"/>
        <w:ind w:firstLine="1440" w:end="0"/>
        <w:rPr/>
      </w:pPr>
      <w:r>
        <w:rPr/>
        <w:t xml:space="preserve">All customers will benefit from the ability to obtain firm intra-state gas transmission capacity, to access lower citygate gas prices in southern California, to reduce costs through improved balancing options, and to create a more efficient gas storage market—each of which is a vital tool for customers to control and mitigate their risk of gas cost volatility. </w:t>
      </w:r>
    </w:p>
    <w:p>
      <w:pPr>
        <w:pStyle w:val="Normal"/>
        <w:spacing w:lineRule="auto" w:line="480"/>
        <w:ind w:firstLine="1440" w:end="0"/>
        <w:rPr/>
      </w:pPr>
      <w:r>
        <w:rPr/>
        <w:t xml:space="preserve">In the view of WGSI and Enron, the Commission can adopt the provisions of the CSA with a great deal of confidence as the basic framework of the CSA is almost entirely based on the industry structure that was unanimously approved by the Commission for use on the Pacific Gas &amp; Electric Company (PG&amp;E) system in two separate settlements in 2000.   It is crucial that the Commission understand that the unbundled gas transportation and storage system in operation on PG&amp;E’s system is working as it was designed to work, without disruption, even during these unprecedented  periods of volatile gas prices.  Notwithstanding the significant periods of higher gas prices, PG&amp;E Citygate prices continued to be lower than border prices for Southwest gas coming onto the PG&amp;E system. </w:t>
      </w:r>
    </w:p>
    <w:p>
      <w:pPr>
        <w:pStyle w:val="Normal"/>
        <w:spacing w:lineRule="auto" w:line="480"/>
        <w:ind w:firstLine="1440" w:end="0"/>
        <w:rPr/>
      </w:pPr>
      <w:r>
        <w:rPr/>
        <w:t>Like many parties, WGSI and Enron placed great importance on the CSA as the means for adopting a gas market structure for SoCalGas which is consistent with the one unanimously approved by the Commission for PG&amp;E.  Gas market rules which are consistent statewide will greatly assist customers and gas marketers alike in quickly and efficiently entering into and completing transactions.   Were substantial differences in gas transportation, storage and balancing rules to persist, there would be increased distortions in the price of electricity between northern and southern California, at a time when the Commission is seeking to eliminate differences due to a mismatch between the pricing of gas and electricity.  D.00-04-060 at 51.</w:t>
      </w:r>
    </w:p>
    <w:p>
      <w:pPr>
        <w:pStyle w:val="Normal"/>
        <w:spacing w:lineRule="auto" w:line="480"/>
        <w:ind w:firstLine="1440" w:end="0"/>
        <w:rPr/>
      </w:pPr>
      <w:r>
        <w:rPr/>
      </w:r>
    </w:p>
    <w:p>
      <w:pPr>
        <w:pStyle w:val="Normal"/>
        <w:ind w:start="1440" w:end="0"/>
        <w:rPr>
          <w:u w:val="single"/>
        </w:rPr>
      </w:pPr>
      <w:r>
        <w:rPr>
          <w:u w:val="single"/>
        </w:rPr>
        <w:t>A Summary of the Differences Between the Revised Proposed Decision and the Comprehensive Settlement Agreement</w:t>
      </w:r>
    </w:p>
    <w:p>
      <w:pPr>
        <w:pStyle w:val="Normal"/>
        <w:spacing w:lineRule="auto" w:line="480"/>
        <w:rPr>
          <w:u w:val="single"/>
        </w:rPr>
      </w:pPr>
      <w:r>
        <w:rPr>
          <w:u w:val="single"/>
        </w:rPr>
      </w:r>
    </w:p>
    <w:p>
      <w:pPr>
        <w:pStyle w:val="Normal"/>
        <w:spacing w:lineRule="auto" w:line="480"/>
        <w:rPr/>
      </w:pPr>
      <w:r>
        <w:rPr/>
        <w:tab/>
        <w:tab/>
        <w:t xml:space="preserve">The RPD makes a number of changes in the CSA.  Each of them individually, with one exception, make little impact on the overall benefits of the CSA.  Taken together, they do not so alter the settlement that WGSI and Enron are compelled to withdraw support for either the CSA or the RPD.  </w:t>
      </w:r>
    </w:p>
    <w:p>
      <w:pPr>
        <w:pStyle w:val="Normal"/>
        <w:spacing w:lineRule="auto" w:line="480"/>
        <w:rPr/>
      </w:pPr>
      <w:r>
        <w:rPr/>
        <w:tab/>
        <w:tab/>
        <w:tab/>
        <w:t>A.</w:t>
        <w:tab/>
      </w:r>
      <w:r>
        <w:rPr>
          <w:u w:val="single"/>
        </w:rPr>
        <w:t>Commission assertion of jurisdiction over gas marketers</w:t>
      </w:r>
    </w:p>
    <w:p>
      <w:pPr>
        <w:pStyle w:val="Normal"/>
        <w:spacing w:lineRule="auto" w:line="480"/>
        <w:rPr/>
      </w:pPr>
      <w:r>
        <w:rPr/>
        <w:tab/>
        <w:tab/>
        <w:t xml:space="preserve">The most problematic change in the RPD is the attempt to assert jurisdiction over natural gas marketers at p. 90 </w:t>
      </w:r>
      <w:r>
        <w:rPr>
          <w:u w:val="single"/>
        </w:rPr>
        <w:t>et</w:t>
      </w:r>
      <w:r>
        <w:rPr/>
        <w:t xml:space="preserve">. </w:t>
      </w:r>
      <w:r>
        <w:rPr>
          <w:u w:val="single"/>
        </w:rPr>
        <w:t>seq</w:t>
      </w:r>
      <w:r>
        <w:rPr/>
        <w:t>.  In the case of the electric industry, the Commission had no authority over energy service providers until the Legislature enacted SB 477, which gave the Commission the jurisdiction to have licensing authority over energy service providers serving residential and small commercial customers.  Yet even that legislation clarified that the enactment did not empower the commission to regulate energy service providers or the service they offered in any other manner than those related to registration and consumer protection for small customers.</w:t>
      </w:r>
      <w:r>
        <w:rPr>
          <w:rStyle w:val="FootnoteCharacters"/>
          <w:rStyle w:val="FootnoteReference"/>
        </w:rPr>
        <w:footnoteReference w:id="2"/>
      </w:r>
      <w:r>
        <w:rPr/>
        <w:t xml:space="preserve">  No such enabling legislation has been enacted by the Commission with respect to gas marketers.  The Commission itself foresaw the need for such authority in its proposed recommendations to the Legislature in 1999.  RPD at 92.  </w:t>
      </w:r>
    </w:p>
    <w:p>
      <w:pPr>
        <w:pStyle w:val="Normal"/>
        <w:spacing w:lineRule="auto" w:line="480"/>
        <w:ind w:firstLine="1440" w:end="0"/>
        <w:rPr/>
      </w:pPr>
      <w:r>
        <w:rPr/>
        <w:t xml:space="preserve">The Federal Energy Regulatory Commission has already occupied the field of regulating natural gas sales and marketing, by virtue of its Order No. </w:t>
      </w:r>
      <w:r>
        <w:rPr>
          <w:b/>
        </w:rPr>
        <w:t>XXX</w:t>
      </w:r>
      <w:r>
        <w:rPr/>
        <w:t xml:space="preserve">, which granted a blanket certificate to all persons to engage in gas sales in interstate commerce, which includes sales of gas traveling through interstate pipelines en route to California.  </w:t>
      </w:r>
      <w:r>
        <w:rPr>
          <w:b/>
        </w:rPr>
        <w:t>[insert cite]</w:t>
      </w:r>
      <w:r>
        <w:rPr/>
        <w:t xml:space="preserve">  Many, if not all, natural gas marketers operate no “gas plant” within California, while others have no more than ordinary offices for sales personnel located within the state.  For the Commission to seize upon such limited quantities of personal property, which have no intrinsic connection to the production, delivery, storage or transmission of natural gas, is nowhere supported by case law or by the Commission’s own decisions.  The Commission will overreach its authority if it attempts to assert jurisdiction over gas marketers on the basis of their typewriters, cell phones and wastebaskets.  </w:t>
      </w:r>
    </w:p>
    <w:p>
      <w:pPr>
        <w:pStyle w:val="Normal"/>
        <w:spacing w:lineRule="auto" w:line="480"/>
        <w:ind w:firstLine="1440" w:end="0"/>
        <w:rPr/>
      </w:pPr>
      <w:r>
        <w:rPr/>
        <w:t xml:space="preserve">However, there are lawful means of achieving the solution the Commission seeks.  First, the Commission can condition certain rights which </w:t>
      </w:r>
      <w:r>
        <w:rPr>
          <w:u w:val="single"/>
        </w:rPr>
        <w:t>are</w:t>
      </w:r>
      <w:r>
        <w:rPr/>
        <w:t xml:space="preserve"> within its jurisdiction, such as the ability to engage in consolidated CTA billing on the acceptance by the CTA of consumer protection rules similar to those suggested in the RPD.  Secondly, the Commission can seek enactment of legislation which would afford it authority parallel to that which it holds under SB 477 to require the registration of energy service providers.  WGSI and Enron would support legislation which adopts the same limited jurisdiction over gas marketers as was adopted for energy service providers, and it is likely that most industry participants would do the same.  However, the Commission should not attempt to assert its jurisdiction “single-handed” without enabling legislation, as to do so would implicitly assert the full scope of utility regulation over gas marketers, including complete regulation of all rates, the requirement to file tariffs, the requirement to have CPUC approval before issuing equity or debt or transferring control in the marketing company.  WGSI and Enron suspect that the Commission does not seek to obtain that degree of control over marketers, but that is what is implied by the language at p. 90 of the RPD.  Either you are a public utility or you are not.  There is no judicial or administrative precedent to support the Commission’s assertion that gas marketers are utilities, and the Commission would be well advised to pursue one of the other alternatives suggested above.</w:t>
      </w:r>
    </w:p>
    <w:p>
      <w:pPr>
        <w:pStyle w:val="Normal"/>
        <w:spacing w:lineRule="auto" w:line="480"/>
        <w:ind w:firstLine="1440" w:end="0"/>
        <w:rPr/>
      </w:pPr>
      <w:r>
        <w:rPr/>
        <w:t>B.</w:t>
        <w:tab/>
      </w:r>
      <w:r>
        <w:rPr>
          <w:u w:val="single"/>
        </w:rPr>
        <w:t>Other Commission Revisions to the CSA</w:t>
      </w:r>
    </w:p>
    <w:p>
      <w:pPr>
        <w:pStyle w:val="Normal"/>
        <w:spacing w:lineRule="auto" w:line="480"/>
        <w:ind w:firstLine="1440" w:end="0"/>
        <w:rPr/>
      </w:pPr>
      <w:r>
        <w:rPr/>
        <w:t xml:space="preserve">The Commission has made other substantive changes to the CSA in the RPD which do not unduly alter the balance of interests or the effectiveness of the settlement.  For example, the RPD adopts a market concentration limit of 30% at each receipt point on the SoCalGas system, instead of the 40% contained in the CSA.   RPD at 44.  To further guard against an exercise of market power, the decision adopts a price cap equivalent to interruptible rates for secondary transactions involving transmission capacity.  RPD at 46.  The decision further eliminates the reduction in core capacity reservation from 1044 MMcfd to 1000 MMcfd.  RPD at 52.  The RPD also emphasizes one provision that </w:t>
      </w:r>
      <w:r>
        <w:rPr>
          <w:u w:val="single"/>
        </w:rPr>
        <w:t>was</w:t>
      </w:r>
      <w:r>
        <w:rPr/>
        <w:t xml:space="preserve"> contained in the CSA, namely that SoCalGas must offer for sale unused capacity reserved by another party.  This eliminates the potential for hoarding capacity.  These changes are clearly aimed at preserving the capacity rights of the core customers while reducing the opportunity for any party to exercise market power by consolidating an excessive amount of receipt point capacity and then seeking to extract higher rates for brokered capacity.  The parties to the CSA came up with a similar, but different balance of rights, but these provisions of the RPD are reasonable, and acceptable to WGSI and Enron.</w:t>
      </w:r>
    </w:p>
    <w:p>
      <w:pPr>
        <w:pStyle w:val="Normal"/>
        <w:spacing w:lineRule="auto" w:line="480"/>
        <w:ind w:firstLine="1440" w:end="0"/>
        <w:rPr/>
      </w:pPr>
      <w:r>
        <w:rPr/>
        <w:t>The Commission also eliminated the automatic reduction in core storage reservation, and eliminated the ability of core aggregation customers (“CTA customers”) to reject and unbundle their reliability and balancing storage.  RPD at 52.    The RPD clearly takes a conservative approach to CTA by rejecting the requirement for parties to file a core procurement application considering a change in the default provider status of the utilities.  RPD at 63.  While not refusing to consider such a proposal, the RPD will not require that one be filed.  These changes do not render the CTA program untenable.</w:t>
      </w:r>
    </w:p>
    <w:p>
      <w:pPr>
        <w:pStyle w:val="Normal"/>
        <w:spacing w:lineRule="auto" w:line="480"/>
        <w:ind w:firstLine="1440" w:end="0"/>
        <w:rPr/>
      </w:pPr>
      <w:r>
        <w:rPr/>
        <w:t>More controversial will be the changes the RPD makes in core interstate unbundling of capacity, which alter the allocation of core ITCS to core customers, impose a share of core ITCS on noncore customers, and cap core ITCS costs, among other changes to the balance of provisions in the CSA.  RPD at 73-78.   WGSI and Enron do not have as direct a stake in the balance between core, noncore, and CTA shares of ITCS as other parties, and have no objection to the somewhat different balance of provisions adopted in the RPD.</w:t>
      </w:r>
    </w:p>
    <w:p>
      <w:pPr>
        <w:pStyle w:val="Normal"/>
        <w:spacing w:lineRule="auto" w:line="480"/>
        <w:ind w:firstLine="1440" w:end="0"/>
        <w:rPr/>
      </w:pPr>
      <w:r>
        <w:rPr/>
        <w:t>The RPD also eliminates certain elements of cost which the utility sought to recover for implementation of the CSA, largely on the ground that many of such costs will be spread out over time, will be less than forecasted, and can be reviewed for their reasonableness in future proceedings.  See RPD at 65-66; 96, 109, 116.  WGSI and Enron are willing to accept the revised cost recovery provisions of the RPD and believe that the utility can recover an acceptable level of costs under such a program.</w:t>
      </w:r>
    </w:p>
    <w:p>
      <w:pPr>
        <w:pStyle w:val="Normal"/>
        <w:spacing w:lineRule="auto" w:line="480"/>
        <w:ind w:firstLine="1440" w:end="0"/>
        <w:rPr/>
      </w:pPr>
      <w:r>
        <w:rPr/>
        <w:t>Finally, the RPD addresses the fact that the implementation of the CSA will have to be altered by the fact that the settlement is being approved so long after its original submission by requiring SoCalGas to file a new advice letter within 15 days of approval of the RPD to propose a new implementation schedule.  WGSI and Enron believe that the new proposed schedule should be the result of discussions between SoCalGas and the interested parties who have an equal interest in the prompt and appropriate implementation of the settlement, and that the Commission should require such a consultation between the parties, and allow slightly more than 15 days for the utility to prepare the necessary advice letter so that the result of these discussions can be included in the advice letter’s implementation proposal.</w:t>
      </w:r>
    </w:p>
    <w:p>
      <w:pPr>
        <w:pStyle w:val="Normal"/>
        <w:spacing w:lineRule="auto" w:line="480"/>
        <w:ind w:firstLine="1440" w:end="0"/>
        <w:rPr/>
      </w:pPr>
      <w:r>
        <w:rPr/>
        <w:t>Once again, these changes are not so negative in their cumulative impact to discourage WGSI and Enron from supporting the RPD.  WGSI and Enron do urge the Commission to use an alternative means of pursuing its legitimate consumer protection goals, and to allow all parties an opportunity to participate in revising the implementation schedule for the settlement.</w:t>
      </w:r>
    </w:p>
    <w:p>
      <w:pPr>
        <w:pStyle w:val="Normal"/>
        <w:spacing w:lineRule="auto" w:line="480"/>
        <w:ind w:firstLine="1440" w:end="0"/>
        <w:rPr>
          <w:u w:val="single"/>
        </w:rPr>
      </w:pPr>
      <w:r>
        <w:rPr>
          <w:u w:val="single"/>
        </w:rPr>
      </w:r>
    </w:p>
    <w:p>
      <w:pPr>
        <w:pStyle w:val="Normal"/>
        <w:spacing w:lineRule="auto" w:line="480"/>
        <w:ind w:firstLine="1440" w:end="0"/>
        <w:rPr>
          <w:u w:val="single"/>
        </w:rPr>
      </w:pPr>
      <w:r>
        <w:rPr>
          <w:u w:val="single"/>
        </w:rPr>
        <w:t>Conclusion:  the Commission Should Adopt the Revised Proposed Decision</w:t>
      </w:r>
    </w:p>
    <w:p>
      <w:pPr>
        <w:pStyle w:val="Normal"/>
        <w:spacing w:lineRule="auto" w:line="480"/>
        <w:ind w:firstLine="1440" w:end="0"/>
        <w:rPr/>
      </w:pPr>
      <w:r>
        <w:rPr/>
        <w:t xml:space="preserve">WGSI and Enron still support the Comprehensive Settlement Agreement.  It believes that the Commission did the correct thing in approving the PG&amp;E settlements and urging the parties to reach a similar settlement for the SoCalGas system.  Having delivered exactly the type of settlement which was the goal of this lengthy proceeding—one which is consistent with statewide gas service regulations, resolves all of the crucial promising options identified by the Commission, and one which has the support of every single major segment of the gas industry, including residential customers, industrial customers, generators, pipelines, electric and gas utilities, storage providers, and marketers—the parties to the CSA strongly urge the Commission to finish the task by approving the RPD and implementing the CSA. </w:t>
      </w:r>
    </w:p>
    <w:p>
      <w:pPr>
        <w:pStyle w:val="BodyText"/>
        <w:rPr/>
      </w:pPr>
      <w:r>
        <w:rPr/>
        <w:t xml:space="preserve">Completion of the gas restructuring process begun over a decade ago will be a significant accomplishment for the Commission.  More to the point, as the Commission faces the continuing series of challenges that volatile gas and electric prices and shortages of energy and capacity have brought to the state, it will be a significant benefit, not a burden, to have a uniform, consistent statewide gas transmission, storage and balancing system in place on both of the major gas utilities.   Whatever the solutions are required to address the serious problems ahead of the Commission, it will be able to take advantage of the solid foundation provided by the CSA and parallel provisions in PG&amp;E tariffs.  For all of the above reasons, WGSI and Enron urge the Commission to adopt the Revised Proposed Decision as soon as possible and begin the process of implementing the CSA. </w:t>
      </w:r>
    </w:p>
    <w:p>
      <w:pPr>
        <w:pStyle w:val="BodyText"/>
        <w:keepNext w:val="true"/>
        <w:rPr/>
      </w:pPr>
      <w:r>
        <w:rPr/>
        <w:t>Respectfully submitted this October 19, 2001 at San Francisco, California.</w:t>
      </w:r>
    </w:p>
    <w:p>
      <w:pPr>
        <w:pStyle w:val="PleadingSignature"/>
        <w:spacing w:before="240" w:after="0"/>
        <w:rPr/>
      </w:pPr>
      <w:r>
        <w:rPr/>
        <w:t>GOODIN, MACBRIDE, SQUERI,</w:t>
        <w:br/>
        <w:t>RITCHIE &amp; DAY, LLP</w:t>
      </w:r>
    </w:p>
    <w:p>
      <w:pPr>
        <w:pStyle w:val="PleadingSignature"/>
        <w:rPr/>
      </w:pPr>
      <w:r>
        <w:rPr/>
        <w:t>Michael B. Day</w:t>
      </w:r>
    </w:p>
    <w:p>
      <w:pPr>
        <w:pStyle w:val="PleadingSignature"/>
        <w:tabs>
          <w:tab w:val="left" w:pos="5126" w:leader="none"/>
          <w:tab w:val="left" w:pos="6480" w:leader="none"/>
          <w:tab w:val="right" w:pos="9360" w:leader="none"/>
        </w:tabs>
        <w:rPr/>
      </w:pPr>
      <w:r>
        <w:rPr/>
        <w:t>505 Sansome Street, Suite 900</w:t>
        <w:br/>
        <w:t>San Francisco, California  94111</w:t>
        <w:br/>
        <w:t>Telephone:</w:t>
        <w:tab/>
        <w:t>(415) 392-7900</w:t>
        <w:br/>
        <w:t>Facsimile:</w:t>
        <w:tab/>
        <w:t>(415) 398-4321</w:t>
      </w:r>
    </w:p>
    <w:p>
      <w:pPr>
        <w:pStyle w:val="PleadingSignature"/>
        <w:spacing w:before="720" w:after="0"/>
        <w:rPr/>
      </w:pPr>
      <w:r>
        <w:rPr/>
        <w:t>By</w:t>
      </w:r>
    </w:p>
    <w:p>
      <w:pPr>
        <w:pStyle w:val="PleadingSignature"/>
        <w:pBdr>
          <w:top w:val="single" w:sz="4" w:space="1" w:color="000000"/>
        </w:pBdr>
        <w:tabs>
          <w:tab w:val="left" w:pos="5126" w:leader="none"/>
          <w:tab w:val="left" w:pos="5846" w:leader="none"/>
          <w:tab w:val="right" w:pos="9360" w:leader="none"/>
        </w:tabs>
        <w:ind w:start="5486" w:end="120"/>
        <w:rPr/>
      </w:pPr>
      <w:r>
        <w:rPr/>
        <w:tab/>
        <w:t>Michael B. Day</w:t>
      </w:r>
    </w:p>
    <w:p>
      <w:pPr>
        <w:pStyle w:val="PleadingSignature"/>
        <w:spacing w:before="240" w:after="0"/>
        <w:ind w:end="120"/>
        <w:rPr/>
      </w:pPr>
      <w:r>
        <w:rPr/>
        <w:t>Attorneys for  Wild Goose Storage Inc., Enron Energy Services, Inc., and Enron North America Corp.</w:t>
      </w:r>
    </w:p>
    <w:p>
      <w:pPr>
        <w:pStyle w:val="Normal"/>
        <w:rPr/>
      </w:pPr>
      <w:r>
        <w:rPr/>
      </w:r>
    </w:p>
    <w:p>
      <w:pPr>
        <w:pStyle w:val="Normal"/>
        <w:spacing w:lineRule="exact" w:line="200" w:before="240" w:after="0"/>
        <w:rPr/>
      </w:pPr>
      <w:r>
        <w:rPr>
          <w:rStyle w:val="zzmpTrailerItem"/>
        </w:rPr>
        <w:t>2715/016/X28621-1</w:t>
      </w:r>
      <w:r>
        <w:rPr/>
        <w:t xml:space="preserve"> </w:t>
      </w:r>
    </w:p>
    <w:sectPr>
      <w:headerReference w:type="default" r:id="rId4"/>
      <w:headerReference w:type="first" r:id="rId5"/>
      <w:footerReference w:type="default" r:id="rId6"/>
      <w:footerReference w:type="first" r:id="rId7"/>
      <w:footnotePr>
        <w:numFmt w:val="decimal"/>
      </w:footnotePr>
      <w:type w:val="nextPage"/>
      <w:pgSz w:w="12240" w:h="15840"/>
      <w:pgMar w:left="1440" w:right="1440" w:gutter="0" w:header="432" w:top="1440" w:footer="360" w:bottom="144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Liberation Sans">
    <w:altName w:val="Arial"/>
    <w:charset w:val="01" w:characterSet="utf-8"/>
    <w:family w:val="swiss"/>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340" w:type="dxa"/>
      <w:jc w:val="start"/>
      <w:tblInd w:w="0" w:type="dxa"/>
      <w:tblLayout w:type="fixed"/>
      <w:tblCellMar>
        <w:top w:w="0" w:type="dxa"/>
        <w:start w:w="0" w:type="dxa"/>
        <w:bottom w:w="0" w:type="dxa"/>
        <w:end w:w="0" w:type="dxa"/>
      </w:tblCellMar>
    </w:tblPr>
    <w:tblGrid>
      <w:gridCol w:w="4265"/>
      <w:gridCol w:w="810"/>
      <w:gridCol w:w="4265"/>
    </w:tblGrid>
    <w:tr>
      <w:trPr/>
      <w:tc>
        <w:tcPr>
          <w:tcW w:w="4265" w:type="dxa"/>
          <w:tcBorders/>
        </w:tcPr>
        <w:p>
          <w:pPr>
            <w:pStyle w:val="Footer"/>
            <w:snapToGrid w:val="false"/>
            <w:ind w:start="-86" w:end="0"/>
            <w:rPr/>
          </w:pPr>
          <w:r>
            <w:rPr/>
          </w:r>
        </w:p>
      </w:tc>
      <w:tc>
        <w:tcPr>
          <w:tcW w:w="810" w:type="dxa"/>
          <w:tcBorders/>
        </w:tcPr>
        <w:p>
          <w:pPr>
            <w:pStyle w:val="Footer"/>
            <w:spacing w:before="240" w:after="0"/>
            <w:ind w:start="-86" w:end="0"/>
            <w:jc w:val="end"/>
            <w:rPr/>
          </w:pPr>
          <w:r>
            <w:rPr>
              <w:rStyle w:val="PageNumber"/>
            </w:rPr>
            <w:t>-</w:t>
          </w: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r>
            <w:rPr>
              <w:rStyle w:val="PageNumber"/>
            </w:rPr>
            <w:t>-</w:t>
          </w:r>
        </w:p>
      </w:tc>
      <w:tc>
        <w:tcPr>
          <w:tcW w:w="4265" w:type="dxa"/>
          <w:tcBorders/>
        </w:tcPr>
        <w:p>
          <w:pPr>
            <w:pStyle w:val="Footer"/>
            <w:tabs>
              <w:tab w:val="center" w:pos="4320" w:leader="none"/>
              <w:tab w:val="right" w:pos="5014" w:leader="none"/>
              <w:tab w:val="right" w:pos="9360" w:leader="none"/>
            </w:tabs>
            <w:snapToGrid w:val="false"/>
            <w:ind w:start="259" w:end="0"/>
            <w:jc w:val="end"/>
            <w:rPr>
              <w:rStyle w:val="PageNumber"/>
              <w:sz w:val="20"/>
            </w:rPr>
          </w:pPr>
          <w:r>
            <w:rPr/>
          </w:r>
        </w:p>
      </w:tc>
    </w:tr>
  </w:tbl>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340" w:type="dxa"/>
      <w:jc w:val="start"/>
      <w:tblInd w:w="0" w:type="dxa"/>
      <w:tblLayout w:type="fixed"/>
      <w:tblCellMar>
        <w:top w:w="0" w:type="dxa"/>
        <w:start w:w="0" w:type="dxa"/>
        <w:bottom w:w="0" w:type="dxa"/>
        <w:end w:w="0" w:type="dxa"/>
      </w:tblCellMar>
    </w:tblPr>
    <w:tblGrid>
      <w:gridCol w:w="4265"/>
      <w:gridCol w:w="810"/>
      <w:gridCol w:w="4265"/>
    </w:tblGrid>
    <w:tr>
      <w:trPr/>
      <w:tc>
        <w:tcPr>
          <w:tcW w:w="4265" w:type="dxa"/>
          <w:tcBorders/>
        </w:tcPr>
        <w:p>
          <w:pPr>
            <w:pStyle w:val="Footer"/>
            <w:snapToGrid w:val="false"/>
            <w:ind w:start="-86" w:end="0"/>
            <w:rPr/>
          </w:pPr>
          <w:r>
            <w:rPr/>
          </w:r>
        </w:p>
      </w:tc>
      <w:tc>
        <w:tcPr>
          <w:tcW w:w="810" w:type="dxa"/>
          <w:tcBorders/>
        </w:tcPr>
        <w:p>
          <w:pPr>
            <w:pStyle w:val="Footer"/>
            <w:spacing w:before="240" w:after="0"/>
            <w:ind w:start="-86" w:end="0"/>
            <w:jc w:val="end"/>
            <w:rPr/>
          </w:pPr>
          <w:r>
            <w:rPr>
              <w:rStyle w:val="PageNumber"/>
            </w:rPr>
            <w:t>-</w:t>
          </w: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r>
            <w:rPr>
              <w:rStyle w:val="PageNumber"/>
            </w:rPr>
            <w:t>-</w:t>
          </w:r>
        </w:p>
      </w:tc>
      <w:tc>
        <w:tcPr>
          <w:tcW w:w="4265" w:type="dxa"/>
          <w:tcBorders/>
        </w:tcPr>
        <w:p>
          <w:pPr>
            <w:pStyle w:val="Footer"/>
            <w:tabs>
              <w:tab w:val="center" w:pos="4320" w:leader="none"/>
              <w:tab w:val="right" w:pos="5014" w:leader="none"/>
              <w:tab w:val="right" w:pos="9360" w:leader="none"/>
            </w:tabs>
            <w:snapToGrid w:val="false"/>
            <w:ind w:start="259" w:end="0"/>
            <w:jc w:val="end"/>
            <w:rPr>
              <w:rStyle w:val="PageNumber"/>
              <w:sz w:val="20"/>
            </w:rPr>
          </w:pPr>
          <w:r>
            <w:rPr/>
          </w:r>
        </w:p>
      </w:tc>
    </w:tr>
  </w:tbl>
  <w:p>
    <w:pPr>
      <w:pStyle w:val="Footer"/>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pPr>
      <w:r>
        <w:rPr>
          <w:rStyle w:val="FootnoteCharacters"/>
        </w:rPr>
        <w:footnoteRef/>
      </w:r>
      <w:r>
        <w:rPr/>
        <w:t xml:space="preserve"> </w:t>
      </w:r>
      <w:r>
        <w:rPr>
          <w:sz w:val="20"/>
        </w:rPr>
        <w:t>Public Utilities Code Section 394(f) provides:  Registration with the commission is an exercise of the licensing function of the commission, and does not constitute regulation of the rates or terms and conditions of service offered by electric service providers.  Nothing in this part authorizes the commission to regulate the rates or terms and conditions of service offered by electric service providers.</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320"/>
        <w:tab w:val="center" w:pos="4680" w:leader="none"/>
        <w:tab w:val="right" w:pos="9360" w:leader="none"/>
      </w:tabs>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320"/>
        <w:tab w:val="center" w:pos="4680" w:leader="none"/>
        <w:tab w:val="right" w:pos="9360" w:leader="none"/>
      </w:tabs>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320"/>
        <w:tab w:val="center" w:pos="4680" w:leader="none"/>
        <w:tab w:val="right" w:pos="9360" w:leader="none"/>
      </w:tabs>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320"/>
        <w:tab w:val="center" w:pos="4680" w:leader="none"/>
        <w:tab w:val="right" w:pos="9360" w:leader="none"/>
      </w:tabs>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footnotePr>
    <w:numFmt w:val="decimal"/>
    <w:footnote w:id="0"/>
    <w:footnote w:id="1"/>
  </w:footnotePr>
  <w:compat>
    <w:doNotExpandShiftReturn/>
    <w:compatSetting w:name="compatibilityMode" w:uri="http://schemas.microsoft.com/office/word" w:val="11"/>
  </w:compat>
  <w:docVars>
    <w:docVar w:name="chkCopyTitle" w:val="False"/>
    <w:docVar w:name="chkIncludeCoverPage" w:val="True"/>
    <w:docVar w:name="chkIncludeFirmAddress" w:val="True"/>
    <w:docVar w:name="cmbAttyName" w:val="2017"/>
    <w:docVar w:name="cmbAttysFor" w:val="Respondent"/>
    <w:docVar w:name="cmbAuthorLists" w:val="-100"/>
    <w:docVar w:name="cmbCAttysFor" w:val="Appellant"/>
    <w:docVar w:name="cmbCrossActions" w:val="none"/>
    <w:docVar w:name="cmbDated" w:val="2"/>
    <w:docVar w:name="cmbDPartyTitle" w:val="Respondent"/>
    <w:docVar w:name="cmbOptBodyTextAlignment" w:val="0"/>
    <w:docVar w:name="cmbOptDated" w:val="2"/>
    <w:docVar w:name="cmbOptFonts" w:val="Times New Roman"/>
    <w:docVar w:name="cmbOptOffices" w:val="1"/>
    <w:docVar w:name="cmbOptSigType" w:val="Respectfully Submitted"/>
    <w:docVar w:name="cmbPPartyTitle" w:val="Appellant"/>
    <w:docVar w:name="cmbPrefLists" w:val="-100"/>
    <w:docVar w:name="cmbSetAuthorPref" w:val="2017"/>
    <w:docVar w:name="iTrailerType" w:val="1"/>
    <w:docVar w:name="lstAttyList" w:val="2017"/>
    <w:docVar w:name="lstCourts" w:val="Public Utilities Commission"/>
    <w:docVar w:name="lstSigType" w:val="PUC Signature"/>
    <w:docVar w:name="OtherCaptionItems" w:val="†"/>
    <w:docVar w:name="packedarray" w:val="Michael B. Day†2017"/>
    <w:docVar w:name="Restarted" w:val="True"/>
    <w:docVar w:name="tglUseFirmDefaults" w:val="False"/>
    <w:docVar w:name="txtAppealedFrom" w:val="San Francisco"/>
    <w:docVar w:name="txtAppealFrom" w:val="the Superior Court&#10;of California, City and County of"/>
    <w:docVar w:name="txtAttyName" w:val="Michael B. Day"/>
    <w:docVar w:name="txtCaseNo" w:val="2nd Civil No. "/>
    <w:docVar w:name="txtCAttysFor" w:val="Appellant"/>
    <w:docVar w:name="txtDPartyTitle" w:val="Respondent"/>
    <w:docVar w:name="txtOptFirstLine" w:val="1"/>
    <w:docVar w:name="txtOptFSize" w:val="12"/>
    <w:docVar w:name="txtOptLeftMargin" w:val="1.5"/>
    <w:docVar w:name="txtOptRightMargin" w:val="1.5"/>
    <w:docVar w:name="txtOriginalCaseNo" w:val="Civil Case No. "/>
    <w:docVar w:name="txtPPTitle" w:val="Appellant"/>
    <w:docVar w:name="zzmpFixed_MacPacVersion" w:val="97"/>
    <w:docVar w:name="zzmpFixed_PleadingPaperType" w:val="PPNone"/>
    <w:docVar w:name="zzmpFixedDOC_ID" w:val="2715/016/X28621-1"/>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Normal"/>
    <w:qFormat/>
    <w:pPr>
      <w:keepNext w:val="true"/>
      <w:widowControl/>
      <w:numPr>
        <w:ilvl w:val="0"/>
        <w:numId w:val="1"/>
      </w:numPr>
      <w:spacing w:before="240" w:after="60"/>
      <w:outlineLvl w:val="0"/>
    </w:pPr>
    <w:rPr>
      <w:rFonts w:ascii="Arial" w:hAnsi="Arial" w:cs="Arial"/>
      <w:b/>
      <w:kern w:val="2"/>
      <w:sz w:val="28"/>
    </w:rPr>
  </w:style>
  <w:style w:type="paragraph" w:styleId="Heading2">
    <w:name w:val="heading 2"/>
    <w:basedOn w:val="Normal"/>
    <w:next w:val="Normal"/>
    <w:qFormat/>
    <w:pPr>
      <w:keepNext w:val="true"/>
      <w:widowControl/>
      <w:numPr>
        <w:ilvl w:val="1"/>
        <w:numId w:val="1"/>
      </w:numPr>
      <w:spacing w:before="240" w:after="60"/>
      <w:outlineLvl w:val="1"/>
    </w:pPr>
    <w:rPr>
      <w:rFonts w:ascii="Arial" w:hAnsi="Arial" w:cs="Arial"/>
      <w:b/>
      <w:i/>
    </w:rPr>
  </w:style>
  <w:style w:type="paragraph" w:styleId="Heading3">
    <w:name w:val="heading 3"/>
    <w:basedOn w:val="Normal"/>
    <w:next w:val="Normal"/>
    <w:qFormat/>
    <w:pPr>
      <w:keepNext w:val="true"/>
      <w:widowControl/>
      <w:numPr>
        <w:ilvl w:val="2"/>
        <w:numId w:val="1"/>
      </w:numPr>
      <w:spacing w:before="240" w:after="60"/>
      <w:outlineLvl w:val="2"/>
    </w:pPr>
    <w:rPr>
      <w:rFonts w:ascii="Arial" w:hAnsi="Arial" w:cs="Arial"/>
    </w:rPr>
  </w:style>
  <w:style w:type="paragraph" w:styleId="Heading4">
    <w:name w:val="heading 4"/>
    <w:basedOn w:val="Normal"/>
    <w:next w:val="Normal"/>
    <w:qFormat/>
    <w:pPr>
      <w:keepNext w:val="true"/>
      <w:widowControl/>
      <w:numPr>
        <w:ilvl w:val="3"/>
        <w:numId w:val="1"/>
      </w:numPr>
      <w:spacing w:before="240" w:after="60"/>
      <w:outlineLvl w:val="3"/>
    </w:pPr>
    <w:rPr>
      <w:rFonts w:ascii="Arial" w:hAnsi="Arial" w:cs="Arial"/>
      <w:b/>
    </w:rPr>
  </w:style>
  <w:style w:type="paragraph" w:styleId="Heading5">
    <w:name w:val="heading 5"/>
    <w:basedOn w:val="Normal"/>
    <w:next w:val="Normal"/>
    <w:qFormat/>
    <w:pPr>
      <w:widowControl/>
      <w:numPr>
        <w:ilvl w:val="4"/>
        <w:numId w:val="1"/>
      </w:numPr>
      <w:spacing w:before="240" w:after="60"/>
      <w:outlineLvl w:val="4"/>
    </w:pPr>
    <w:rPr>
      <w:sz w:val="22"/>
    </w:rPr>
  </w:style>
  <w:style w:type="paragraph" w:styleId="Heading6">
    <w:name w:val="heading 6"/>
    <w:basedOn w:val="Normal"/>
    <w:next w:val="Normal"/>
    <w:qFormat/>
    <w:pPr>
      <w:widowControl/>
      <w:numPr>
        <w:ilvl w:val="5"/>
        <w:numId w:val="1"/>
      </w:numPr>
      <w:spacing w:before="240" w:after="60"/>
      <w:outlineLvl w:val="5"/>
    </w:pPr>
    <w:rPr>
      <w:i/>
      <w:sz w:val="22"/>
    </w:rPr>
  </w:style>
  <w:style w:type="paragraph" w:styleId="Heading7">
    <w:name w:val="heading 7"/>
    <w:basedOn w:val="Normal"/>
    <w:next w:val="Normal"/>
    <w:qFormat/>
    <w:pPr>
      <w:widowControl/>
      <w:numPr>
        <w:ilvl w:val="6"/>
        <w:numId w:val="1"/>
      </w:numPr>
      <w:spacing w:before="240" w:after="60"/>
      <w:outlineLvl w:val="6"/>
    </w:pPr>
    <w:rPr>
      <w:rFonts w:ascii="Arial" w:hAnsi="Arial" w:cs="Arial"/>
      <w:sz w:val="20"/>
    </w:rPr>
  </w:style>
  <w:style w:type="paragraph" w:styleId="Heading8">
    <w:name w:val="heading 8"/>
    <w:basedOn w:val="Normal"/>
    <w:next w:val="Normal"/>
    <w:qFormat/>
    <w:pPr>
      <w:widowControl/>
      <w:numPr>
        <w:ilvl w:val="7"/>
        <w:numId w:val="1"/>
      </w:numPr>
      <w:spacing w:before="240" w:after="60"/>
      <w:outlineLvl w:val="7"/>
    </w:pPr>
    <w:rPr>
      <w:rFonts w:ascii="Arial" w:hAnsi="Arial" w:cs="Arial"/>
      <w:i/>
      <w:sz w:val="20"/>
    </w:rPr>
  </w:style>
  <w:style w:type="paragraph" w:styleId="Heading9">
    <w:name w:val="heading 9"/>
    <w:basedOn w:val="Normal"/>
    <w:next w:val="Normal"/>
    <w:qFormat/>
    <w:pPr>
      <w:widowControl/>
      <w:numPr>
        <w:ilvl w:val="8"/>
        <w:numId w:val="1"/>
      </w:numPr>
      <w:spacing w:before="240" w:after="60"/>
      <w:outlineLvl w:val="8"/>
    </w:pPr>
    <w:rPr>
      <w:rFonts w:ascii="Arial" w:hAnsi="Arial" w:cs="Arial"/>
      <w:b/>
      <w:i/>
      <w:sz w:val="18"/>
    </w:rPr>
  </w:style>
  <w:style w:type="character" w:styleId="WW8Num1z0">
    <w:name w:val="WW8Num1z0"/>
    <w:qFormat/>
    <w:rPr>
      <w:b/>
      <w:u w:val="none"/>
    </w:rPr>
  </w:style>
  <w:style w:type="character" w:styleId="WW8Num1z1">
    <w:name w:val="WW8Num1z1"/>
    <w:qFormat/>
    <w:rPr>
      <w:rFonts w:ascii="Courier New" w:hAnsi="Courier New" w:cs="Courier New"/>
      <w:b/>
      <w:u w:val="none"/>
    </w:rPr>
  </w:style>
  <w:style w:type="character" w:styleId="WW8Num1z2">
    <w:name w:val="WW8Num1z2"/>
    <w:qFormat/>
    <w:rPr>
      <w:b w:val="false"/>
      <w:u w:val="none"/>
    </w:rPr>
  </w:style>
  <w:style w:type="character" w:styleId="WW8Num2z0">
    <w:name w:val="WW8Num2z0"/>
    <w:qFormat/>
    <w:rPr>
      <w:b/>
      <w:i w:val="false"/>
      <w:caps w:val="false"/>
      <w:smallCaps w:val="false"/>
      <w:strike w:val="false"/>
      <w:dstrike w:val="false"/>
      <w:shadow w:val="false"/>
      <w:vanish w:val="false"/>
      <w:color w:val="0000FF"/>
      <w:position w:val="0"/>
      <w:sz w:val="24"/>
      <w:u w:val="none"/>
      <w:vertAlign w:val="baseline"/>
    </w:rPr>
  </w:style>
  <w:style w:type="character" w:styleId="WW8Num2z2">
    <w:name w:val="WW8Num2z2"/>
    <w:qFormat/>
    <w:rPr>
      <w:b w:val="false"/>
      <w:i w:val="false"/>
      <w:caps w:val="false"/>
      <w:smallCaps w:val="false"/>
      <w:strike w:val="false"/>
      <w:dstrike w:val="false"/>
      <w:shadow w:val="false"/>
      <w:vanish w:val="false"/>
      <w:color w:val="0000FF"/>
      <w:position w:val="0"/>
      <w:sz w:val="24"/>
      <w:vertAlign w:val="baseline"/>
    </w:rPr>
  </w:style>
  <w:style w:type="character" w:styleId="WW8Num2z3">
    <w:name w:val="WW8Num2z3"/>
    <w:qFormat/>
    <w:rPr>
      <w:b w:val="false"/>
      <w:i w:val="false"/>
      <w:caps w:val="false"/>
      <w:smallCaps w:val="false"/>
      <w:strike w:val="false"/>
      <w:dstrike w:val="false"/>
      <w:outline w:val="false"/>
      <w:shadow w:val="false"/>
      <w:vanish w:val="false"/>
      <w:color w:val="0000FF"/>
      <w:position w:val="0"/>
      <w:sz w:val="24"/>
      <w:u w:val="none"/>
      <w:vertAlign w:val="baseline"/>
    </w:rPr>
  </w:style>
  <w:style w:type="character" w:styleId="WW8Num2z4">
    <w:name w:val="WW8Num2z4"/>
    <w:qFormat/>
    <w:rPr>
      <w:caps w:val="false"/>
      <w:smallCaps w:val="false"/>
      <w:strike w:val="false"/>
      <w:dstrike w:val="false"/>
      <w:shadow w:val="false"/>
      <w:vanish w:val="false"/>
      <w:color w:val="0000FF"/>
      <w:position w:val="0"/>
      <w:sz w:val="24"/>
      <w:u w:val="none"/>
      <w:vertAlign w:val="baseline"/>
    </w:rPr>
  </w:style>
  <w:style w:type="character" w:styleId="WW8Num2z7">
    <w:name w:val="WW8Num2z7"/>
    <w:qFormat/>
    <w:rPr>
      <w:b w:val="false"/>
      <w:i w:val="false"/>
      <w:caps w:val="false"/>
      <w:smallCaps w:val="false"/>
      <w:strike w:val="false"/>
      <w:dstrike w:val="false"/>
      <w:shadow w:val="false"/>
      <w:vanish w:val="false"/>
      <w:color w:val="0000FF"/>
      <w:position w:val="0"/>
      <w:sz w:val="24"/>
      <w:u w:val="none"/>
      <w:vertAlign w:val="baseline"/>
    </w:rPr>
  </w:style>
  <w:style w:type="character" w:styleId="WW8Num3z0">
    <w:name w:val="WW8Num3z0"/>
    <w:qFormat/>
    <w:rPr>
      <w:b/>
      <w:i w:val="false"/>
      <w:caps w:val="false"/>
      <w:smallCaps w:val="false"/>
      <w:strike w:val="false"/>
      <w:dstrike w:val="false"/>
      <w:shadow w:val="false"/>
      <w:vanish w:val="false"/>
      <w:color w:val="0000FF"/>
      <w:position w:val="0"/>
      <w:sz w:val="24"/>
      <w:u w:val="none"/>
      <w:vertAlign w:val="baseline"/>
    </w:rPr>
  </w:style>
  <w:style w:type="character" w:styleId="WW8Num3z2">
    <w:name w:val="WW8Num3z2"/>
    <w:qFormat/>
    <w:rPr>
      <w:b w:val="false"/>
      <w:i w:val="false"/>
      <w:caps w:val="false"/>
      <w:smallCaps w:val="false"/>
      <w:strike w:val="false"/>
      <w:dstrike w:val="false"/>
      <w:shadow w:val="false"/>
      <w:vanish w:val="false"/>
      <w:color w:val="0000FF"/>
      <w:position w:val="0"/>
      <w:sz w:val="24"/>
      <w:vertAlign w:val="baseline"/>
    </w:rPr>
  </w:style>
  <w:style w:type="character" w:styleId="WW8Num3z3">
    <w:name w:val="WW8Num3z3"/>
    <w:qFormat/>
    <w:rPr>
      <w:b w:val="false"/>
      <w:i w:val="false"/>
      <w:caps w:val="false"/>
      <w:smallCaps w:val="false"/>
      <w:strike w:val="false"/>
      <w:dstrike w:val="false"/>
      <w:outline w:val="false"/>
      <w:shadow w:val="false"/>
      <w:vanish w:val="false"/>
      <w:color w:val="0000FF"/>
      <w:position w:val="0"/>
      <w:sz w:val="24"/>
      <w:u w:val="none"/>
      <w:vertAlign w:val="baseline"/>
    </w:rPr>
  </w:style>
  <w:style w:type="character" w:styleId="WW8Num3z4">
    <w:name w:val="WW8Num3z4"/>
    <w:qFormat/>
    <w:rPr>
      <w:caps w:val="false"/>
      <w:smallCaps w:val="false"/>
      <w:strike w:val="false"/>
      <w:dstrike w:val="false"/>
      <w:shadow w:val="false"/>
      <w:vanish w:val="false"/>
      <w:color w:val="0000FF"/>
      <w:position w:val="0"/>
      <w:sz w:val="24"/>
      <w:u w:val="none"/>
      <w:vertAlign w:val="baseline"/>
    </w:rPr>
  </w:style>
  <w:style w:type="character" w:styleId="WW8Num3z7">
    <w:name w:val="WW8Num3z7"/>
    <w:qFormat/>
    <w:rPr>
      <w:b w:val="false"/>
      <w:i w:val="false"/>
      <w:caps w:val="false"/>
      <w:smallCaps w:val="false"/>
      <w:strike w:val="false"/>
      <w:dstrike w:val="false"/>
      <w:shadow w:val="false"/>
      <w:vanish w:val="false"/>
      <w:color w:val="0000FF"/>
      <w:position w:val="0"/>
      <w:sz w:val="24"/>
      <w:u w:val="none"/>
      <w:vertAlign w:val="baseline"/>
    </w:rPr>
  </w:style>
  <w:style w:type="character" w:styleId="DefaultParagraphFont">
    <w:name w:val="Default Paragraph Font"/>
    <w:qFormat/>
    <w:rPr/>
  </w:style>
  <w:style w:type="character" w:styleId="PageNumber">
    <w:name w:val="page number"/>
    <w:basedOn w:val="DefaultParagraphFont"/>
    <w:rPr>
      <w:sz w:val="24"/>
    </w:rPr>
  </w:style>
  <w:style w:type="character" w:styleId="FootnoteCharacters">
    <w:name w:val="Footnote Characters"/>
    <w:basedOn w:val="DefaultParagraphFont"/>
    <w:qFormat/>
    <w:rPr>
      <w:vertAlign w:val="superscript"/>
    </w:rPr>
  </w:style>
  <w:style w:type="character" w:styleId="zzmpTrailerItem">
    <w:name w:val="zzmpTrailerItem"/>
    <w:basedOn w:val="DefaultParagraphFont"/>
    <w:qFormat/>
    <w:rPr>
      <w:rFonts w:ascii="Times New Roman" w:hAnsi="Times New Roman" w:cs="Times New Roman"/>
      <w:b w:val="false"/>
      <w:i w:val="false"/>
      <w:caps w:val="false"/>
      <w:smallCaps w:val="false"/>
      <w:strike w:val="false"/>
      <w:dstrike w:val="false"/>
      <w:shadow w:val="false"/>
      <w:emboss/>
      <w:vanish w:val="false"/>
      <w:color w:val="auto"/>
      <w:spacing w:val="0"/>
      <w:position w:val="0"/>
      <w:sz w:val="16"/>
      <w:sz w:val="16"/>
      <w:u w:val="none"/>
      <w:effect w:val="blinkBackground"/>
      <w:vertAlign w:val="baseline"/>
      <w:lang w:val="en-CA" w:eastAsia="en-CA"/>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480"/>
      <w:ind w:firstLine="1440" w:start="0" w:end="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9360" w:leader="none"/>
      </w:tabs>
    </w:pPr>
    <w:rPr/>
  </w:style>
  <w:style w:type="paragraph" w:styleId="Header">
    <w:name w:val="header"/>
    <w:basedOn w:val="Normal"/>
    <w:pPr>
      <w:tabs>
        <w:tab w:val="clear" w:pos="720"/>
        <w:tab w:val="center" w:pos="4320" w:leader="none"/>
        <w:tab w:val="right" w:pos="9360" w:leader="none"/>
      </w:tabs>
    </w:pPr>
    <w:rPr/>
  </w:style>
  <w:style w:type="paragraph" w:styleId="Quote">
    <w:name w:val="Quote"/>
    <w:basedOn w:val="Normal"/>
    <w:next w:val="BodyTextContinued"/>
    <w:qFormat/>
    <w:pPr>
      <w:widowControl/>
      <w:spacing w:before="0" w:after="240"/>
      <w:ind w:hanging="0" w:start="1440" w:end="1440"/>
    </w:pPr>
    <w:rPr/>
  </w:style>
  <w:style w:type="paragraph" w:styleId="BodyTextContinued">
    <w:name w:val="Body Text Continued"/>
    <w:basedOn w:val="BodyText"/>
    <w:next w:val="BodyText"/>
    <w:qFormat/>
    <w:pPr>
      <w:ind w:hanging="0" w:start="0" w:end="0"/>
    </w:pPr>
    <w:rPr/>
  </w:style>
  <w:style w:type="paragraph" w:styleId="Centered">
    <w:name w:val="Centered"/>
    <w:basedOn w:val="Normal"/>
    <w:next w:val="BodyText"/>
    <w:qFormat/>
    <w:pPr>
      <w:spacing w:before="0" w:after="240"/>
      <w:jc w:val="center"/>
    </w:pPr>
    <w:rPr/>
  </w:style>
  <w:style w:type="paragraph" w:styleId="EnvelopeAddress">
    <w:name w:val="envelope address"/>
    <w:basedOn w:val="Normal"/>
    <w:pPr/>
    <w:rPr/>
  </w:style>
  <w:style w:type="paragraph" w:styleId="FootnoteText">
    <w:name w:val="footnote text"/>
    <w:basedOn w:val="Normal"/>
    <w:pPr>
      <w:keepLines/>
    </w:pPr>
    <w:rPr/>
  </w:style>
  <w:style w:type="paragraph" w:styleId="HeaderNumbers">
    <w:name w:val="HeaderNumbers"/>
    <w:basedOn w:val="Normal"/>
    <w:qFormat/>
    <w:pPr>
      <w:spacing w:lineRule="exact" w:line="480" w:before="720" w:after="0"/>
      <w:ind w:hanging="0" w:start="0" w:end="144"/>
      <w:jc w:val="end"/>
    </w:pPr>
    <w:rPr/>
  </w:style>
  <w:style w:type="paragraph" w:styleId="NormalIndent">
    <w:name w:val="Normal Indent"/>
    <w:basedOn w:val="Normal"/>
    <w:qFormat/>
    <w:pPr>
      <w:ind w:hanging="0" w:start="720" w:end="720"/>
    </w:pPr>
    <w:rPr/>
  </w:style>
  <w:style w:type="paragraph" w:styleId="PleadingSignature">
    <w:name w:val="Pleading Signature"/>
    <w:basedOn w:val="Normal"/>
    <w:qFormat/>
    <w:pPr>
      <w:keepNext w:val="true"/>
      <w:keepLines/>
      <w:tabs>
        <w:tab w:val="clear" w:pos="720"/>
        <w:tab w:val="left" w:pos="5126" w:leader="none"/>
        <w:tab w:val="right" w:pos="9360" w:leader="none"/>
      </w:tabs>
      <w:ind w:hanging="0" w:start="5040" w:end="0"/>
    </w:pPr>
    <w:rPr/>
  </w:style>
  <w:style w:type="paragraph" w:styleId="TableofAuthorities">
    <w:name w:val="Table of Authorities"/>
    <w:basedOn w:val="Normal"/>
    <w:next w:val="Normal"/>
    <w:qFormat/>
    <w:pPr>
      <w:tabs>
        <w:tab w:val="clear" w:pos="720"/>
        <w:tab w:val="right" w:pos="9389" w:leader="dot"/>
      </w:tabs>
      <w:spacing w:before="0" w:after="240"/>
      <w:ind w:hanging="360" w:start="360" w:end="1440"/>
    </w:pPr>
    <w:rPr/>
  </w:style>
  <w:style w:type="paragraph" w:styleId="TOAHeading">
    <w:name w:val="TOA Heading"/>
    <w:basedOn w:val="Normal"/>
    <w:next w:val="TableofAuthorities"/>
    <w:qFormat/>
    <w:pPr>
      <w:keepNext w:val="true"/>
      <w:spacing w:before="240" w:after="240"/>
    </w:pPr>
    <w:rPr>
      <w:b/>
      <w:caps/>
      <w:u w:val="single"/>
    </w:rPr>
  </w:style>
  <w:style w:type="paragraph" w:styleId="TOC1">
    <w:name w:val="toc 1"/>
    <w:basedOn w:val="Normal"/>
    <w:next w:val="Normal"/>
    <w:pPr>
      <w:keepLines/>
      <w:widowControl/>
      <w:tabs>
        <w:tab w:val="clear" w:pos="720"/>
        <w:tab w:val="right" w:pos="9389" w:leader="dot"/>
      </w:tabs>
      <w:spacing w:before="0" w:after="240"/>
      <w:ind w:hanging="720" w:start="720" w:end="720"/>
    </w:pPr>
    <w:rPr>
      <w:caps/>
    </w:rPr>
  </w:style>
  <w:style w:type="paragraph" w:styleId="TOC2">
    <w:name w:val="toc 2"/>
    <w:basedOn w:val="Normal"/>
    <w:next w:val="Normal"/>
    <w:pPr>
      <w:keepLines/>
      <w:widowControl/>
      <w:tabs>
        <w:tab w:val="clear" w:pos="720"/>
        <w:tab w:val="right" w:pos="9389" w:leader="dot"/>
      </w:tabs>
      <w:spacing w:before="0" w:after="240"/>
      <w:ind w:hanging="720" w:start="1440" w:end="720"/>
    </w:pPr>
    <w:rPr/>
  </w:style>
  <w:style w:type="paragraph" w:styleId="TOC3">
    <w:name w:val="toc 3"/>
    <w:basedOn w:val="Normal"/>
    <w:next w:val="Normal"/>
    <w:pPr>
      <w:keepLines/>
      <w:widowControl/>
      <w:tabs>
        <w:tab w:val="clear" w:pos="720"/>
        <w:tab w:val="right" w:pos="9389" w:leader="dot"/>
      </w:tabs>
      <w:spacing w:before="0" w:after="240"/>
      <w:ind w:hanging="720" w:start="2160" w:end="720"/>
    </w:pPr>
    <w:rPr/>
  </w:style>
  <w:style w:type="paragraph" w:styleId="TOC4">
    <w:name w:val="toc 4"/>
    <w:basedOn w:val="Normal"/>
    <w:next w:val="Normal"/>
    <w:pPr>
      <w:keepLines/>
      <w:widowControl/>
      <w:tabs>
        <w:tab w:val="clear" w:pos="720"/>
        <w:tab w:val="right" w:pos="9389" w:leader="dot"/>
      </w:tabs>
      <w:spacing w:before="0" w:after="240"/>
      <w:ind w:hanging="720" w:start="2880" w:end="720"/>
    </w:pPr>
    <w:rPr/>
  </w:style>
  <w:style w:type="paragraph" w:styleId="TOC5">
    <w:name w:val="toc 5"/>
    <w:basedOn w:val="Normal"/>
    <w:next w:val="Normal"/>
    <w:pPr>
      <w:keepLines/>
      <w:widowControl/>
      <w:tabs>
        <w:tab w:val="clear" w:pos="720"/>
        <w:tab w:val="right" w:pos="9389" w:leader="dot"/>
      </w:tabs>
      <w:spacing w:before="0" w:after="240"/>
      <w:ind w:hanging="720" w:start="3600" w:end="720"/>
    </w:pPr>
    <w:rPr/>
  </w:style>
  <w:style w:type="paragraph" w:styleId="TOC6">
    <w:name w:val="toc 6"/>
    <w:basedOn w:val="Normal"/>
    <w:next w:val="Normal"/>
    <w:pPr>
      <w:keepLines/>
      <w:widowControl/>
      <w:tabs>
        <w:tab w:val="clear" w:pos="720"/>
        <w:tab w:val="right" w:pos="9389" w:leader="dot"/>
      </w:tabs>
      <w:spacing w:before="0" w:after="240"/>
      <w:ind w:hanging="720" w:start="4320" w:end="720"/>
    </w:pPr>
    <w:rPr/>
  </w:style>
  <w:style w:type="paragraph" w:styleId="TOC7">
    <w:name w:val="toc 7"/>
    <w:basedOn w:val="Normal"/>
    <w:next w:val="Normal"/>
    <w:pPr>
      <w:keepLines/>
      <w:widowControl/>
      <w:tabs>
        <w:tab w:val="clear" w:pos="720"/>
        <w:tab w:val="right" w:pos="9389" w:leader="dot"/>
      </w:tabs>
      <w:spacing w:before="0" w:after="240"/>
      <w:ind w:hanging="720" w:start="5040" w:end="720"/>
    </w:pPr>
    <w:rPr/>
  </w:style>
  <w:style w:type="paragraph" w:styleId="TOC8">
    <w:name w:val="toc 8"/>
    <w:basedOn w:val="Normal"/>
    <w:next w:val="Normal"/>
    <w:pPr>
      <w:keepLines/>
      <w:widowControl/>
      <w:tabs>
        <w:tab w:val="clear" w:pos="720"/>
        <w:tab w:val="right" w:pos="9389" w:leader="dot"/>
      </w:tabs>
      <w:spacing w:before="0" w:after="240"/>
      <w:ind w:hanging="720" w:start="5760" w:end="720"/>
    </w:pPr>
    <w:rPr/>
  </w:style>
  <w:style w:type="paragraph" w:styleId="TOC9">
    <w:name w:val="toc 9"/>
    <w:basedOn w:val="Normal"/>
    <w:next w:val="Normal"/>
    <w:pPr>
      <w:keepLines/>
      <w:widowControl/>
      <w:tabs>
        <w:tab w:val="clear" w:pos="720"/>
        <w:tab w:val="right" w:pos="9389" w:leader="dot"/>
      </w:tabs>
      <w:spacing w:before="0" w:after="240"/>
      <w:ind w:hanging="720" w:start="6480" w:end="720"/>
    </w:pPr>
    <w:rPr/>
  </w:style>
  <w:style w:type="paragraph" w:styleId="CoverPage">
    <w:name w:val="CoverPage"/>
    <w:basedOn w:val="Normal"/>
    <w:qFormat/>
    <w:pPr/>
    <w:rPr/>
  </w:style>
  <w:style w:type="paragraph" w:styleId="DocumentMap">
    <w:name w:val="Document Map"/>
    <w:basedOn w:val="Normal"/>
    <w:qFormat/>
    <w:pPr>
      <w:shd w:fill="000080" w:val="clear"/>
    </w:pPr>
    <w:rPr>
      <w:rFonts w:ascii="Tahoma" w:hAnsi="Tahoma" w:cs="Tahoma"/>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header" Target="header4.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footnotes" Target="footnotes.xml"/><Relationship Id="rId9" Type="http://schemas.openxmlformats.org/officeDocument/2006/relationships/numbering" Target="numbering.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PUC-Appellate.dot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2001-10-18T23:09:00Z</dcterms:created>
  <dc:creator>Michael B. Day</dc:creator>
  <dc:description/>
  <dc:language>en-CA</dc:language>
  <cp:lastModifiedBy>MBD</cp:lastModifiedBy>
  <cp:lastPrinted>2001-10-18T18:39:00Z</cp:lastPrinted>
  <dcterms:modified xsi:type="dcterms:W3CDTF">2001-10-18T23:09:00Z</dcterms:modified>
  <cp:revision>2</cp:revision>
  <dc:subject/>
  <dc:title>BEFORE THE PUBLIC UTILITIES COMMISSION</dc:title>
</cp:coreProperties>
</file>