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lineRule="auto" w:line="360"/>
        <w:ind w:hanging="0" w:start="0"/>
        <w:jc w:val="center"/>
        <w:rPr>
          <w:b/>
        </w:rPr>
      </w:pPr>
      <w:r>
        <w:rPr>
          <w:b/>
        </w:rPr>
        <w:t>UPDATED PREPARED DIRECT TESTIMONY OF MOHAMED A. DERBAS</w:t>
      </w:r>
    </w:p>
    <w:p>
      <w:pPr>
        <w:pStyle w:val="Normal"/>
        <w:rPr>
          <w:b/>
          <w:sz w:val="24"/>
        </w:rPr>
      </w:pPr>
      <w:r>
        <w:rPr>
          <w:b/>
          <w:sz w:val="24"/>
        </w:rPr>
      </w:r>
    </w:p>
    <w:p>
      <w:pPr>
        <w:pStyle w:val="Heading3"/>
        <w:numPr>
          <w:ilvl w:val="0"/>
          <w:numId w:val="2"/>
        </w:numPr>
        <w:spacing w:lineRule="auto" w:line="360"/>
        <w:ind w:hanging="0" w:start="0"/>
        <w:rPr/>
      </w:pPr>
      <w:r>
        <w:rPr/>
        <w:t>INTRODUCTION</w:t>
      </w:r>
    </w:p>
    <w:p>
      <w:pPr>
        <w:pStyle w:val="BodyText"/>
        <w:spacing w:lineRule="auto" w:line="360"/>
        <w:ind w:firstLine="720" w:end="0"/>
        <w:rPr/>
      </w:pPr>
      <w:r>
        <w:rPr/>
      </w:r>
    </w:p>
    <w:p>
      <w:pPr>
        <w:pStyle w:val="BodyText"/>
        <w:spacing w:lineRule="auto" w:line="360"/>
        <w:ind w:firstLine="720" w:end="0"/>
        <w:rPr/>
      </w:pPr>
      <w:r>
        <w:rPr/>
        <w:t>On May 11, 2001, San Diego Gas and Electric (SDG&amp;E) filed new rates for the large commercial, industrial, and agricultural customers as well as other customers in its service area who were not capped under AB265 but who would be subject to a price freeze according to AB1X 43.  Rates are to be implemented by July 1, 2001.</w:t>
      </w:r>
    </w:p>
    <w:p>
      <w:pPr>
        <w:pStyle w:val="Normal"/>
        <w:spacing w:lineRule="auto" w:line="360"/>
        <w:jc w:val="both"/>
        <w:rPr>
          <w:sz w:val="24"/>
        </w:rPr>
      </w:pPr>
      <w:r>
        <w:rPr>
          <w:sz w:val="24"/>
        </w:rPr>
      </w:r>
    </w:p>
    <w:p>
      <w:pPr>
        <w:pStyle w:val="Normal"/>
        <w:spacing w:lineRule="auto" w:line="360"/>
        <w:ind w:firstLine="720" w:end="0"/>
        <w:rPr>
          <w:sz w:val="24"/>
        </w:rPr>
      </w:pPr>
      <w:r>
        <w:rPr>
          <w:sz w:val="24"/>
        </w:rPr>
        <w:t>The purpose of this testimony is to update for illustrative purposes, SDG&amp;E’s May 11, 2001 large customer rate design implementation testimony based on the May 15, 2001 decision in the Southern California Edison/Pacific Gas and Electric case, D.01-05-064. The illustrative rate design reflects the proposed changes to recover the California Department of Water Resources (DWR) revenue requirement as provided by DWR to the Commission on May 2, 2001.  The rate tables including present and proposed rates in Attachment A are derived to recover the allocated portion of DWR’s revenue requirement plus ancillary services and ISO charges for the large customers as discussed by SDG&amp;E witness, Mr. Schneider in SDG&amp;E’s May 11, 2001 filing.  Customer bill impacts associated with the proposed tables are presented in Attachment B.</w:t>
      </w:r>
    </w:p>
    <w:p>
      <w:pPr>
        <w:pStyle w:val="Normal"/>
        <w:spacing w:lineRule="auto" w:line="360"/>
        <w:jc w:val="both"/>
        <w:rPr>
          <w:sz w:val="24"/>
        </w:rPr>
      </w:pPr>
      <w:r>
        <w:rPr>
          <w:sz w:val="24"/>
        </w:rPr>
      </w:r>
    </w:p>
    <w:p>
      <w:pPr>
        <w:pStyle w:val="Heading3"/>
        <w:numPr>
          <w:ilvl w:val="0"/>
          <w:numId w:val="2"/>
        </w:numPr>
        <w:ind w:hanging="0" w:start="0"/>
        <w:rPr/>
      </w:pPr>
      <w:r>
        <w:rPr/>
        <w:t>DERIVATION OF UPDATED RATES FOR THE LARGE COMMERCIAL/INDUSTRIAL CUSTOMERS</w:t>
      </w:r>
    </w:p>
    <w:p>
      <w:pPr>
        <w:pStyle w:val="Heading2"/>
        <w:spacing w:lineRule="auto" w:line="360"/>
        <w:ind w:hanging="0" w:start="0"/>
        <w:rPr/>
      </w:pPr>
      <w:r>
        <w:rPr/>
      </w:r>
    </w:p>
    <w:p>
      <w:pPr>
        <w:pStyle w:val="BodyText"/>
        <w:spacing w:lineRule="auto" w:line="360"/>
        <w:ind w:firstLine="720" w:end="0"/>
        <w:rPr/>
      </w:pPr>
      <w:r>
        <w:rPr/>
        <w:t xml:space="preserve">In deriving the rates for the large commercial, industrial, and agricultural classes, it was necessary to first separate the customers who mainly fell under AB265 (i.e. small customers) and those who fell under ABX1 43 (i.e. large customers).  This was achieved by differentiating the historical billing determinants according to the percentage of customers’ usage under AB265 and ABX1 43 guidelines.  The resulting percentage split is 33% of energy attributable to large customers and 67% attributable to small customers. </w:t>
      </w:r>
    </w:p>
    <w:p>
      <w:pPr>
        <w:pStyle w:val="BodyText"/>
        <w:spacing w:lineRule="auto" w:line="360"/>
        <w:ind w:firstLine="720" w:end="0"/>
        <w:rPr/>
      </w:pPr>
      <w:r>
        <w:rPr/>
      </w:r>
    </w:p>
    <w:p>
      <w:pPr>
        <w:pStyle w:val="BodyText"/>
        <w:spacing w:lineRule="auto" w:line="360"/>
        <w:ind w:firstLine="720" w:end="0"/>
        <w:rPr/>
      </w:pPr>
      <w:r>
        <w:rPr/>
        <w:t>The same methodology was applied to differentiate between both of the above mentioned customer classes that fell under the same rate schedules (primarily Schedule AD, AY-TOU, and AL/AO-TOU).  To develop these ratios, the recorded bundled kWh sales numbers were utilized.  Here, the resulting percentages of total kWh billed under the provisions of ABX1 43 are 40% for schedule AD, 43% for schedule AY-TOU, and 68% for schedule AL/AO-TOU.</w:t>
      </w:r>
    </w:p>
    <w:p>
      <w:pPr>
        <w:pStyle w:val="BodyText"/>
        <w:spacing w:lineRule="auto" w:line="360"/>
        <w:ind w:firstLine="720" w:end="0"/>
        <w:rPr/>
      </w:pPr>
      <w:r>
        <w:rPr/>
      </w:r>
    </w:p>
    <w:p>
      <w:pPr>
        <w:pStyle w:val="BodyText"/>
        <w:spacing w:lineRule="auto" w:line="360"/>
        <w:ind w:firstLine="720" w:end="0"/>
        <w:rPr/>
      </w:pPr>
      <w:r>
        <w:rPr/>
        <w:t>Having separated the classes, I subsequently applied the principles addressed in Mr. Croyle’s testimony for SDG&amp;E to the attached rate tables.  These rate tables reflect no tiered rate structures for the Time of Use (TOU) and non-TOU customers in its service territory, consistent with SDG&amp;E’s May 11, 2001 testimony and the Commission’s decision; D.01-05-064.</w:t>
      </w:r>
    </w:p>
    <w:p>
      <w:pPr>
        <w:pStyle w:val="BodyText"/>
        <w:spacing w:lineRule="auto" w:line="360"/>
        <w:jc w:val="both"/>
        <w:rPr/>
      </w:pPr>
      <w:r>
        <w:rPr/>
      </w:r>
    </w:p>
    <w:p>
      <w:pPr>
        <w:pStyle w:val="BodyText"/>
        <w:spacing w:lineRule="auto" w:line="360"/>
        <w:ind w:firstLine="720" w:end="0"/>
        <w:rPr/>
      </w:pPr>
      <w:r>
        <w:rPr/>
        <w:t>For the non-TOU class (i.e., Schedules AD and PA), I applied the rate increases, for the recovery of the aforementioned revenue requirement, as a flat (not tiered) rate based on an allocation using an equal cents per kWh basis.  This increase also reflects the reallocation of the CARE customer class revenue shortfall due to the exemption of the CARE customers.  For the purpose of illustrating the impact of the Commission’s decision D.01-05-064 on the rate design (Attachment C), I allocated one third of the shortfall amount, due to the exemption of the CARE customers and customers below 130% of baseline, to the residential class and allocated two thirds to the commercial/industrial class.  Since SDG&amp;E’s non-residential customers fall into the commercial/industrial class, I could not implement the proposed one third allocation to residential, one third to commercial, and one third to industrial methodology provided in D.01-05-064.  The separation was based on total residential sales and total commercial/industrial sales.</w:t>
      </w:r>
    </w:p>
    <w:p>
      <w:pPr>
        <w:pStyle w:val="BodyText"/>
        <w:spacing w:lineRule="auto" w:line="360"/>
        <w:jc w:val="both"/>
        <w:rPr/>
      </w:pPr>
      <w:r>
        <w:rPr/>
      </w:r>
    </w:p>
    <w:p>
      <w:pPr>
        <w:pStyle w:val="BodyText"/>
        <w:spacing w:lineRule="auto" w:line="360"/>
        <w:ind w:firstLine="720" w:end="0"/>
        <w:rPr/>
      </w:pPr>
      <w:r>
        <w:rPr/>
        <w:t xml:space="preserve">In the case of TOU customers (i.e., AL-TOU, AY-TOU, AO-TOU, AV-1, AV-2, NJ, RTP-2, A6-TOU, PA-TOU, PA-T-1), I allocated the rate increase, for the recovery of the aforementioned revenue requirement, on the same equal cents per kWh basis to the class but based on the time of use period differentials derived from the previous twelve months of historical pricing data.  This results in a percentage increase between on-peak and off-peak of 200% while the percentage increase between semi-peak and off peak is 140%.  Here, the increase also reflects the reallocation of the CARE class subsidy by the large customers, for the recovery of the shortfall amount due to the exemption of the CARE class.  Again for the purpose of illustrating the impact of the Commission’s decision in D.01-05-064, to reallocate any shortfall from exempting CARE customers as well as residential customers below 130% of baseline, I applied one third of the shortfall amount to the residential class and two thirds to the commercial/industrial class.  </w:t>
      </w:r>
    </w:p>
    <w:p>
      <w:pPr>
        <w:pStyle w:val="BodyText"/>
        <w:spacing w:lineRule="auto" w:line="360"/>
        <w:ind w:firstLine="720" w:end="0"/>
        <w:rPr/>
      </w:pPr>
      <w:r>
        <w:rPr/>
      </w:r>
    </w:p>
    <w:p>
      <w:pPr>
        <w:pStyle w:val="BodyText"/>
        <w:spacing w:lineRule="auto" w:line="360"/>
        <w:ind w:firstLine="720" w:end="0"/>
        <w:rPr/>
      </w:pPr>
      <w:r>
        <w:rPr/>
        <w:t>Without further direction from D.01-05-064 as to the “slight differential” applied to the allocation in the TOU class, and the unavailability of a specific rate cap to apply to the industrial class, I was not able to implement the rest of the Commission’s proposals in D.01-05-064.  The rate caps provided pertained only to SCE and PG&amp;E.  In the absence of such information, it would be difficult to reflect the impact of bill limiters on the rate schedules.</w:t>
      </w:r>
    </w:p>
    <w:p>
      <w:pPr>
        <w:pStyle w:val="Normal"/>
        <w:spacing w:lineRule="exact" w:line="200" w:before="240" w:after="0"/>
        <w:rPr/>
      </w:pPr>
      <w:r>
        <w:rPr>
          <w:rStyle w:val="zzmpTrailerItem"/>
        </w:rPr>
        <w:t>2704/147/X28456-1</w:t>
      </w:r>
      <w:r>
        <w:rPr/>
        <w:t xml:space="preserve"> </w:t>
      </w:r>
    </w:p>
    <w:sectPr>
      <w:footerReference w:type="default" r:id="rId2"/>
      <w:type w:val="nextPage"/>
      <w:pgSz w:w="12240" w:h="15840"/>
      <w:pgMar w:left="1800" w:right="1800" w:gutter="0" w:header="0" w:top="1440" w:footer="720" w:bottom="1440"/>
      <w:lnNumType w:countBy="1" w:restart="newPage" w:distance="283"/>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5/18/2001</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9912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991235" cy="146685"/>
                      </a:xfrm>
                      <a:prstGeom prst="rect"/>
                      <a:solidFill>
                        <a:srgbClr val="FFFFFF">
                          <a:alpha val="0"/>
                        </a:srgbClr>
                      </a:solidFill>
                    </wps:spPr>
                    <wps:txbx>
                      <w:txbxContent>
                        <w:p>
                          <w:pPr>
                            <w:pStyle w:val="Footer"/>
                            <w:rPr>
                              <w:rStyle w:val="PageNumber"/>
                            </w:rPr>
                          </w:pPr>
                          <w:r>
                            <w:rPr>
                              <w:rStyle w:val="PageNumber"/>
                            </w:rPr>
                            <w:t>MAD-</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((Updated)</w:t>
                          </w:r>
                        </w:p>
                      </w:txbxContent>
                    </wps:txbx>
                    <wps:bodyPr anchor="t" lIns="0" tIns="0" rIns="0" bIns="0">
                      <a:noAutofit/>
                    </wps:bodyPr>
                  </wps:wsp>
                </a:graphicData>
              </a:graphic>
            </wp:anchor>
          </w:drawing>
        </mc:Choice>
        <mc:Fallback>
          <w:pict>
            <v:rect fillcolor="#FFFFFF" style="position:absolute;rotation:-0;width:78.05pt;height:11.55pt;mso-wrap-distance-left:0pt;mso-wrap-distance-right:0pt;mso-wrap-distance-top:0pt;mso-wrap-distance-bottom:0pt;margin-top:0.05pt;mso-position-vertical-relative:text;margin-left:177pt;mso-position-horizontal:center;mso-position-horizontal-relative:margin">
              <v:fill opacity="0f"/>
              <v:textbox inset="0in,0in,0in,0in">
                <w:txbxContent>
                  <w:p>
                    <w:pPr>
                      <w:pStyle w:val="Footer"/>
                      <w:rPr>
                        <w:rStyle w:val="PageNumber"/>
                      </w:rPr>
                    </w:pPr>
                    <w:r>
                      <w:rPr>
                        <w:rStyle w:val="PageNumber"/>
                      </w:rPr>
                      <w:t>MAD-</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((Updated)</w:t>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720" w:hanging="720"/>
      </w:pPr>
      <w:rPr>
        <w:u w:val="none"/>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iTrailerType" w:val="1"/>
    <w:docVar w:name="zzmpFixedDOC_ID" w:val="2704/147/X28456-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0"/>
        <w:numId w:val="2"/>
      </w:numPr>
      <w:outlineLvl w:val="2"/>
    </w:pPr>
    <w:rPr>
      <w:b/>
      <w:sz w:val="24"/>
    </w:rPr>
  </w:style>
  <w:style w:type="character" w:styleId="WW8Num1z0">
    <w:name w:val="WW8Num1z0"/>
    <w:qFormat/>
    <w:rPr>
      <w:u w:val="none"/>
    </w:rPr>
  </w:style>
  <w:style w:type="character" w:styleId="DefaultParagraphFont">
    <w:name w:val="Default Paragraph Font"/>
    <w:qFormat/>
    <w:rPr/>
  </w:style>
  <w:style w:type="character" w:styleId="LineNumber">
    <w:name w:val="line number"/>
    <w:basedOn w:val="DefaultParagraphFont"/>
    <w:rPr>
      <w:sz w:val="24"/>
    </w:rPr>
  </w:style>
  <w:style w:type="character" w:styleId="PageNumber">
    <w:name w:val="page number"/>
    <w:basedOn w:val="DefaultParagraphFon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2001-10-12T15:15:00Z</dcterms:created>
  <dc:creator>JMB</dc:creator>
  <dc:description/>
  <dc:language>en-CA</dc:language>
  <cp:lastModifiedBy>JMB</cp:lastModifiedBy>
  <cp:lastPrinted>2001-05-18T15:52:00Z</cp:lastPrinted>
  <dcterms:modified xsi:type="dcterms:W3CDTF">2001-10-12T15:15:00Z</dcterms:modified>
  <cp:revision>3</cp:revision>
  <dc:subject/>
  <dc:title>UPDATED PREPARED DIRECT TESTIMONY OF MOHAMED A</dc:title>
</cp:coreProperties>
</file>