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rFonts w:ascii="Arial" w:hAnsi="Arial" w:cs="Arial"/>
          <w:b/>
          <w:caps/>
          <w:spacing w:val="60"/>
          <w:sz w:val="26"/>
        </w:rPr>
      </w:pPr>
      <w:r>
        <w:rPr>
          <w:rFonts w:cs="Arial" w:ascii="Arial" w:hAnsi="Arial"/>
          <w:b/>
          <w:caps/>
          <w:spacing w:val="60"/>
          <w:sz w:val="26"/>
        </w:rPr>
        <w:t>Memorandum</w:t>
      </w:r>
    </w:p>
    <w:p>
      <w:pPr>
        <w:pStyle w:val="DeliveryPhrase"/>
        <w:rPr/>
      </w:pPr>
      <w:r>
        <w:rPr/>
        <w:t>ATTORNEY-CLIENT PRIVILEGE</w:t>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Ms. Elizabeth Linnell,</w:t>
              <w:br/>
              <w:t>Enron Corp.</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spacing w:before="0" w:after="180"/>
              <w:ind w:end="216"/>
              <w:rPr/>
            </w:pPr>
            <w:r>
              <w:rPr/>
              <w:t>Michael B. Day</w:t>
              <w:br/>
              <w:t>Goodin, MacBride, Squeri, Ritchie &amp; Day</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pPr>
            <w:r>
              <w:rPr/>
              <w:t>Inquiry Regarding California Legislators and Commissioners and Conflict of Interest Regulations</w:t>
            </w:r>
          </w:p>
        </w:tc>
      </w:tr>
      <w:tr>
        <w:trPr/>
        <w:tc>
          <w:tcPr>
            <w:tcW w:w="9576" w:type="dxa"/>
            <w:gridSpan w:val="2"/>
            <w:tcBorders>
              <w:top w:val="single" w:sz="6" w:space="0" w:color="000000"/>
            </w:tcBorders>
            <w:tcMar>
              <w:start w:w="108" w:type="dxa"/>
              <w:end w:w="108" w:type="dxa"/>
            </w:tcMar>
          </w:tcPr>
          <w:p>
            <w:pPr>
              <w:pStyle w:val="Normal"/>
              <w:snapToGrid w:val="false"/>
              <w:rPr/>
            </w:pPr>
            <w:r>
              <w:rPr/>
            </w:r>
          </w:p>
        </w:tc>
      </w:tr>
    </w:tbl>
    <w:p>
      <w:pPr>
        <w:pStyle w:val="BodyText"/>
        <w:rPr/>
      </w:pPr>
      <w:r>
        <w:rPr/>
        <w:t>You have requested that we provide information regarding Conflict of Interest Regulations in California as they relate to legislators and regulatory agency officials who may attend an Enron-sponsored conference or seminar in Houston.  In response to your telephone inquiry from last week, I have prepared the following information in response to your several questions</w:t>
      </w:r>
    </w:p>
    <w:p>
      <w:pPr>
        <w:pStyle w:val="BodyText"/>
        <w:spacing w:lineRule="auto" w:line="240"/>
        <w:ind w:hanging="0" w:start="1440" w:end="0"/>
        <w:rPr>
          <w:b/>
        </w:rPr>
      </w:pPr>
      <w:r>
        <w:rPr>
          <w:b/>
        </w:rPr>
        <w:t>Meals, refreshments and conference materials for Legislators and Commissioners attending a seminar or meeting.</w:t>
      </w:r>
    </w:p>
    <w:p>
      <w:pPr>
        <w:pStyle w:val="Normal"/>
        <w:rPr>
          <w:b/>
        </w:rPr>
      </w:pPr>
      <w:r>
        <w:rPr>
          <w:b/>
        </w:rPr>
      </w:r>
    </w:p>
    <w:p>
      <w:pPr>
        <w:pStyle w:val="Normal"/>
        <w:spacing w:lineRule="auto" w:line="480"/>
        <w:rPr/>
      </w:pPr>
      <w:r>
        <w:rPr>
          <w:b/>
        </w:rPr>
        <w:tab/>
        <w:tab/>
      </w:r>
      <w:r>
        <w:rPr/>
        <w:t>While attending a seminar or conference within the United States public officials subject to the Political Reform Act (including Legislators and CPUC Commissioners) must report gifts of food, beverages, or gifts (like presentation pens or other memorabilia) and such gifts must not exceed $320 in value from any one source for each such official in any calendar year.  We understand that the value of the food and drink and conference materials to be provided will be no greater than $300.  That is permissible unless Enron has already given gifts of some value to one of these officials earlier in this year, in which case care must be taken that the annual $320 limit not be exceeded.  We should note that educational materials provided to assist the public official in his or her duties are exempt from the definition of a gift.  Thus, a binder with conference presentations and articles and a notepad would not be a gift and would not count against the $320 limit, although a fancy presentation pen with a sponsor’s logo would be considered a gift.</w:t>
      </w:r>
    </w:p>
    <w:p>
      <w:pPr>
        <w:pStyle w:val="Normal"/>
        <w:spacing w:lineRule="auto" w:line="480"/>
        <w:rPr/>
      </w:pPr>
      <w:r>
        <w:rPr/>
        <w:tab/>
        <w:tab/>
        <w:t>We understand all participants are paying for their own travel and lodging so we will not discuss the California regulations regarding travel expenses for such officials.  You have also indicated that the seminar or meeting will be hosted by an Enron official who is not a registered lobbyist in California.  This is in compliance with the regulations as lobbyists are not permitted to arrange for public officials to receive a gift of any sort with a value of over $10.</w:t>
      </w:r>
    </w:p>
    <w:p>
      <w:pPr>
        <w:pStyle w:val="Normal"/>
        <w:rPr/>
      </w:pPr>
      <w:r>
        <w:rPr/>
        <w:tab/>
        <w:tab/>
      </w:r>
      <w:r>
        <w:rPr>
          <w:b/>
        </w:rPr>
        <w:t>Applicability to Officials of the California Independent System Operator</w:t>
      </w:r>
    </w:p>
    <w:p>
      <w:pPr>
        <w:pStyle w:val="Normal"/>
        <w:rPr/>
      </w:pPr>
      <w:r>
        <w:rPr/>
      </w:r>
    </w:p>
    <w:p>
      <w:pPr>
        <w:pStyle w:val="Normal"/>
        <w:spacing w:lineRule="auto" w:line="480"/>
        <w:rPr/>
      </w:pPr>
      <w:r>
        <w:rPr/>
        <w:tab/>
        <w:tab/>
        <w:t>We have been advised by the staff of the Fair Political Practices Commission that an opinion letter is about to be sent to the California Independent System Operator advising that the quasi-governmental Cal ISO is subject to the laws requiring state agencies to adopt conflict of interest rules.  While this opinion letter may not be dispositive of all questions regarding the status of Cal ISO personnel, it suggests that state ethics enforcement staff will monitor conflicts of interest involving Cal ISO officials.  Given this new development, we strongly advise that Enron treat officials of the Cal ISO as public officials and limit gifts to such persons in the same manner as legislators or PUC commissioners.</w:t>
      </w:r>
    </w:p>
    <w:p>
      <w:pPr>
        <w:pStyle w:val="Normal"/>
        <w:spacing w:lineRule="auto" w:line="480"/>
        <w:rPr/>
      </w:pPr>
      <w:r>
        <w:rPr/>
        <w:tab/>
        <w:tab/>
      </w:r>
      <w:r>
        <w:rPr>
          <w:b/>
        </w:rPr>
        <w:t>Provision of Access to Internet Sites or Portals to Public Officials</w:t>
      </w:r>
    </w:p>
    <w:p>
      <w:pPr>
        <w:pStyle w:val="Normal"/>
        <w:spacing w:lineRule="auto" w:line="480"/>
        <w:rPr/>
      </w:pPr>
      <w:r>
        <w:rPr/>
        <w:tab/>
        <w:tab/>
        <w:t>Lastly, you have inquired about the rules which would apply if Enron were to permit legislators and other public officials to have free access to an internet site or portal which would allow them to access information, papers, reports, and other energy-related news and advocacy materials, some of which might be edited or screened by the site host or Enron.  To the extent that the content of this internet source is related to the official responsibilities of the public official, it will be considered informational material, just like other objects which have been exempted from the definition of a gift, such as books, reports, calendars, videotapes, or free/discounted admission to educational seminars.  Informational materials of this sort are not considered gifts and need not be reported.</w:t>
      </w:r>
    </w:p>
    <w:p>
      <w:pPr>
        <w:pStyle w:val="BodyText"/>
        <w:rPr/>
      </w:pPr>
      <w:r>
        <w:rPr/>
        <w:tab/>
        <w:tab/>
        <w:t>I hope this brief memo is of assistance to you.   Please feel free to contact me if you need additional information.</w:t>
      </w:r>
    </w:p>
    <w:p>
      <w:pPr>
        <w:pStyle w:val="Normal"/>
        <w:spacing w:lineRule="auto" w:line="480"/>
        <w:rPr/>
      </w:pPr>
      <w:r>
        <w:rPr/>
      </w:r>
    </w:p>
    <w:p>
      <w:pPr>
        <w:pStyle w:val="Normal"/>
        <w:spacing w:lineRule="auto" w:line="480"/>
        <w:rPr/>
      </w:pPr>
      <w:r>
        <w:rPr/>
      </w:r>
    </w:p>
    <w:p>
      <w:pPr>
        <w:pStyle w:val="Normal"/>
        <w:spacing w:lineRule="exact" w:line="200" w:before="240" w:after="0"/>
        <w:rPr/>
      </w:pPr>
      <w:r>
        <w:rPr>
          <w:rStyle w:val="zzmpTrailerItem"/>
        </w:rPr>
        <w:t>2704/151/X28179-1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17"/>
    <w:docVar w:name="cmbAuthorLists" w:val="-100"/>
    <w:docVar w:name="cmbOptBodyTextAlignment" w:val="0"/>
    <w:docVar w:name="cmbOptFonts" w:val="Times New Roman"/>
    <w:docVar w:name="cmbOptLetterhead" w:val="Firm Name"/>
    <w:docVar w:name="cmbOptOffices" w:val="1"/>
    <w:docVar w:name="iTrailerType" w:val="1"/>
    <w:docVar w:name="lstDeliveryPhrases" w:val="Attorney-Client Privilege"/>
    <w:docVar w:name="Restarted" w:val="True"/>
    <w:docVar w:name="tglUseFirmDefaults" w:val="False"/>
    <w:docVar w:name="txtDeliveryPhrases" w:val="ATTORNEY-CLIENT PRIVILEGE"/>
    <w:docVar w:name="txtFrom" w:val="Michael B. Day&#10;Goodin, MacBride, Squeri, Ritchie &amp; Day"/>
    <w:docVar w:name="txtOptBottomMargin" w:val="1"/>
    <w:docVar w:name="txtOptFirstLine" w:val="1"/>
    <w:docVar w:name="txtOptFSize" w:val="12"/>
    <w:docVar w:name="txtOptLeftMargin" w:val="1"/>
    <w:docVar w:name="txtOptRightMargin" w:val="1"/>
    <w:docVar w:name="txtOptTopMargin" w:val="1"/>
    <w:docVar w:name="txtRe" w:val="Inquiry Regarding California Legislators and Commissioners and Conflict of Interest Regulations"/>
    <w:docVar w:name="txtTo" w:val="Ms. Elizabeth Linnell,&#10;Enron Corp."/>
    <w:docVar w:name="zzmpFixed_MacPacVersion" w:val="97"/>
    <w:docVar w:name="zzmpFixedDOC_ID" w:val="2704/151/X2817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2001-10-01T17:08:00Z</dcterms:created>
  <dc:creator>MBD</dc:creator>
  <dc:description>Rev. March 13, 1998 10:48:50</dc:description>
  <dc:language>en-CA</dc:language>
  <cp:lastModifiedBy>MBD</cp:lastModifiedBy>
  <dcterms:modified xsi:type="dcterms:W3CDTF">2001-10-01T17:08:00Z</dcterms:modified>
  <cp:revision>3</cp:revision>
  <dc:subject/>
  <dc:title/>
</cp:coreProperties>
</file>