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9/06/01)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b/>
        </w:rPr>
      </w:pPr>
      <w:r>
        <w:rPr/>
        <w:tab/>
        <w:t>On June 15, 2001, a ruling was issued in this docket setting a hearing schedule for determining the revenue requirements of SCE, PG&amp;E and SDG&amp;E related to retained generation, QFs, bilateral contracts, and ancillary services. The hearings on the UDCs retained generation were held the week of July 23</w:t>
      </w:r>
      <w:r>
        <w:rPr>
          <w:vertAlign w:val="superscript"/>
        </w:rPr>
        <w:t>rd</w:t>
      </w:r>
      <w:r>
        <w:rPr/>
        <w:t>-27</w:t>
      </w:r>
      <w:r>
        <w:rPr>
          <w:vertAlign w:val="superscript"/>
        </w:rPr>
        <w:t>th</w:t>
      </w:r>
      <w:r>
        <w:rPr/>
        <w:t xml:space="preserve">.   A proposed decision is expected by the end of September.                    </w:t>
      </w:r>
    </w:p>
    <w:p>
      <w:pPr>
        <w:pStyle w:val="Normal"/>
        <w:ind w:hanging="720" w:start="720" w:end="0"/>
        <w:jc w:val="both"/>
        <w:rPr>
          <w:b/>
        </w:rPr>
      </w:pPr>
      <w:r>
        <w:rPr>
          <w:b/>
        </w:rPr>
      </w:r>
    </w:p>
    <w:p>
      <w:pPr>
        <w:pStyle w:val="Normal"/>
        <w:ind w:hanging="720" w:start="720" w:end="0"/>
        <w:jc w:val="both"/>
        <w:rPr>
          <w:b/>
        </w:rPr>
      </w:pPr>
      <w:r>
        <w:rPr>
          <w:b/>
        </w:rPr>
        <w:t>*</w:t>
        <w:tab/>
      </w:r>
      <w:r>
        <w:rPr/>
        <w:t>On July 18</w:t>
      </w:r>
      <w:r>
        <w:rPr>
          <w:vertAlign w:val="superscript"/>
        </w:rPr>
        <w:t>th</w:t>
      </w:r>
      <w:r>
        <w:rPr/>
        <w:t>, an Assigned Commissioner’s Ruling was issued seeking comments on a draft Rate Agreement between the California Department of Water Resources and the Public Utilities Commission.  The key provisions of the Rate Agreement are that at least annually (and more often if necessary) DWR will file its Retail Revenue Requirement with the Commission, with supporting documentation.  The Commission must accept the determination by DWR of its retail revenue requirement as submitted unless it includes types of expenses not provided for in the agreement or arithmetic errors. In addition, the Commission agrees to impose charges on end use customers sufficient to provide moneys in the amounts necessary to satisfy the retail revenue requirement.  Such charges would go into effect no later than 90 days subsequent to DWR’s revenue requirement to the Commission.</w:t>
        <w:tab/>
        <w:t>Comments on the draft Rate Agreement were due on August 1</w:t>
      </w:r>
      <w:r>
        <w:rPr>
          <w:vertAlign w:val="superscript"/>
        </w:rPr>
        <w:t>st</w:t>
      </w:r>
      <w:r>
        <w:rPr/>
        <w:t>. Subsequently, on August 10</w:t>
      </w:r>
      <w:r>
        <w:rPr>
          <w:vertAlign w:val="superscript"/>
        </w:rPr>
        <w:t>th</w:t>
      </w:r>
      <w:r>
        <w:rPr/>
        <w:t>, DWR filed a responsive document defending the rate agreement and asking the Commission to approve it without change.  Through Ruling issued August 13</w:t>
      </w:r>
      <w:r>
        <w:rPr>
          <w:vertAlign w:val="superscript"/>
        </w:rPr>
        <w:t>th</w:t>
      </w:r>
      <w:r>
        <w:rPr/>
        <w:t>, parties were allowed to comment on DWR’s response by August 15</w:t>
      </w:r>
      <w:r>
        <w:rPr>
          <w:vertAlign w:val="superscript"/>
        </w:rPr>
        <w:t>th</w:t>
      </w:r>
      <w:r>
        <w:rPr/>
        <w:t xml:space="preserve">. A proposed decision was issued on August 27, 2001 which essentially adopts the draft rate agreement, with few minor modifications.  The Commission was scheduled to vote on the proposed decision at its meeting of September 6, 2001, but held the decision until a scheduled continuation meeting on September 13, 2001. </w:t>
      </w:r>
    </w:p>
    <w:p>
      <w:pPr>
        <w:pStyle w:val="Normal"/>
        <w:ind w:hanging="720" w:start="720" w:end="0"/>
        <w:jc w:val="both"/>
        <w:rPr>
          <w:b/>
        </w:rPr>
      </w:pPr>
      <w:r>
        <w:rPr>
          <w:b/>
        </w:rPr>
      </w:r>
    </w:p>
    <w:p>
      <w:pPr>
        <w:pStyle w:val="Normal"/>
        <w:ind w:hanging="720" w:start="720" w:end="0"/>
        <w:jc w:val="both"/>
        <w:rPr/>
      </w:pPr>
      <w:r>
        <w:rPr>
          <w:b/>
        </w:rPr>
        <w:t>*</w:t>
        <w:tab/>
      </w:r>
      <w:r>
        <w:rPr/>
        <w:t>On July 24</w:t>
      </w:r>
      <w:r>
        <w:rPr>
          <w:vertAlign w:val="superscript"/>
        </w:rPr>
        <w:t>th</w:t>
      </w:r>
      <w:r>
        <w:rPr/>
        <w:t>, a Joint Assigned Commissioner’s Ruling was issued soliciting comments on DWR’s revised revenue requirement submittal.  On July 23</w:t>
      </w:r>
      <w:r>
        <w:rPr>
          <w:vertAlign w:val="superscript"/>
        </w:rPr>
        <w:t xml:space="preserve">rd, </w:t>
      </w:r>
      <w:r>
        <w:rPr/>
        <w:t>DWR had submitted a revised revenue requirement of $13.072 billion for electricity purchases during the period between January 17, 2001 and December 31, 2002.  The revenue, which is expected to pay for 118,930 GWh of power is divided among the three UDCs as follows: PG&amp;E = $5.2 billion; SCE = $ 5.8 billion; and SDG&amp;E =  $2.1 billion. Comments were due on DWR’s submission on August 3</w:t>
      </w:r>
      <w:r>
        <w:rPr>
          <w:vertAlign w:val="superscript"/>
        </w:rPr>
        <w:t>rd</w:t>
      </w:r>
      <w:r>
        <w:rPr/>
        <w:t>.   On August 7, 2001, DWR submitted a revised revenue requirement based on a reduced estimated net short position for the three UDCs.  The revised revenue requirement is $12.6 million for 116,084 GWH of sales.  By ruling issued August 9</w:t>
      </w:r>
      <w:r>
        <w:rPr>
          <w:vertAlign w:val="superscript"/>
        </w:rPr>
        <w:t>th</w:t>
      </w:r>
      <w:r>
        <w:rPr/>
        <w:t>, parties were given to August 15</w:t>
      </w:r>
      <w:r>
        <w:rPr>
          <w:vertAlign w:val="superscript"/>
        </w:rPr>
        <w:t>th</w:t>
      </w:r>
      <w:r>
        <w:rPr/>
        <w:t xml:space="preserve"> to comment on the revised revenue requirement. On September 4</w:t>
      </w:r>
      <w:r>
        <w:rPr>
          <w:vertAlign w:val="superscript"/>
        </w:rPr>
        <w:t>th</w:t>
      </w:r>
      <w:r>
        <w:rPr/>
        <w:t xml:space="preserve">, the Commission issued a proposed decision approving the entirety of DWR’s requested revenue requirement less the costs of certain demand side management programs which are not included as “authorized costs” under AB1X.  The PD, however, does not follow DWR’s approach of a pro rata allocation of the revenue requirement among the three UDCs. Rather the PD allocated DWR’s energy procurement costs on a geographic basis, depending on whether the energy is delivered over facilities in northern California or southern California. Energy sources procured in the north are allocated to PG&amp;E’s customers while those procured in the south are allocated to the customers of SCE and SDG&amp;E. The result of such allocation is that 54% of DWR’s energy costs are allocated to PG&amp;E, 33% to SCE and 13% to SDG&amp;E.  Each UDC is then allocated the same percentage of bond proceeds.  In revenue requirement terms, this means that that for the period of January 17, 2001 through December 31, 2002, PG&amp;E is allocated $6.53 billion, SCE is allocated $4.01 billion and SDG&amp;E is allocated $1.53 billion. The PD states that whether this allocation will necessitate a rate increase for SCE and/or PG&amp;E cannot be determined until after the Commission issues a decision on the revenue requirement for the UDCs’ retained generation (see above). Parties have until September 11, 2001 to comment on the proposed decision.  The Commission will vote on it at its continuation meeting to be held on September 13, 2001.        </w:t>
      </w:r>
    </w:p>
    <w:p>
      <w:pPr>
        <w:pStyle w:val="Normal"/>
        <w:ind w:hanging="720" w:start="720" w:end="0"/>
        <w:jc w:val="both"/>
        <w:rPr/>
      </w:pPr>
      <w:r>
        <w:rPr/>
      </w:r>
    </w:p>
    <w:p>
      <w:pPr>
        <w:pStyle w:val="Normal"/>
        <w:ind w:hanging="720" w:start="720" w:end="0"/>
        <w:jc w:val="both"/>
        <w:rPr/>
      </w:pPr>
      <w:r>
        <w:rPr/>
        <w:t xml:space="preserve"> </w:t>
      </w:r>
      <w:r>
        <w:rPr>
          <w:b/>
        </w:rPr>
        <w:t>2.</w:t>
        <w:tab/>
        <w:t>SDG&amp;E Application for Surcharge</w:t>
      </w:r>
    </w:p>
    <w:p>
      <w:pPr>
        <w:pStyle w:val="Normal"/>
        <w:ind w:start="720" w:end="0"/>
        <w:jc w:val="both"/>
        <w:rPr>
          <w:b/>
        </w:rPr>
      </w:pPr>
      <w:r>
        <w:rPr>
          <w:b/>
        </w:rPr>
        <w:t>(A. 01-01-044)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  On May 14</w:t>
      </w:r>
      <w:r>
        <w:rPr>
          <w:vertAlign w:val="superscript"/>
        </w:rPr>
        <w:t>th</w:t>
      </w:r>
      <w:r>
        <w:rPr/>
        <w:t xml:space="preserve">, the Commission issued a decision implementing the portion of the bill establishing the frozen rate of 6.5 cents. </w:t>
      </w:r>
    </w:p>
    <w:p>
      <w:pPr>
        <w:pStyle w:val="Normal"/>
        <w:tabs>
          <w:tab w:val="clear" w:pos="720"/>
          <w:tab w:val="left" w:pos="-270" w:leader="none"/>
        </w:tabs>
        <w:ind w:start="720" w:end="0"/>
        <w:jc w:val="both"/>
        <w:rPr/>
      </w:pPr>
      <w:r>
        <w:rPr/>
      </w:r>
    </w:p>
    <w:p>
      <w:pPr>
        <w:pStyle w:val="Normal"/>
        <w:ind w:hanging="720" w:start="720" w:end="0"/>
        <w:jc w:val="both"/>
        <w:rPr/>
      </w:pPr>
      <w:r>
        <w:rPr/>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No proposed decision has been issued and the proceeding has been put on hiatus given SDG&amp;E’s filing of its Memorandum of Understanding with DWR.</w:t>
      </w:r>
    </w:p>
    <w:p>
      <w:pPr>
        <w:pStyle w:val="Normal"/>
        <w:ind w:hanging="720" w:start="720" w:end="0"/>
        <w:jc w:val="both"/>
        <w:rPr/>
      </w:pPr>
      <w:r>
        <w:rPr/>
        <w:t xml:space="preserve"> </w:t>
      </w:r>
      <w:r>
        <w:rPr/>
        <w:tab/>
      </w:r>
    </w:p>
    <w:p>
      <w:pPr>
        <w:pStyle w:val="Normal"/>
        <w:ind w:hanging="720" w:start="720" w:end="0"/>
        <w:jc w:val="both"/>
        <w:rPr/>
      </w:pPr>
      <w:r>
        <w:rPr/>
        <w:tab/>
        <w:t>On July 16</w:t>
      </w:r>
      <w:r>
        <w:rPr>
          <w:vertAlign w:val="superscript"/>
        </w:rPr>
        <w:t>th</w:t>
      </w:r>
      <w:r>
        <w:rPr/>
        <w:t>, SDG&amp;E filed a Motion for Implementation of its Memorandum of Understanding with DWR.  The Motion requests that the Commission either take certain actions or establish proceedings to address certain actions which are necessary for the MOU to go into effect.  The driving goal of the MOU is to eradicate the under-collection which has been building up in Energy Rate Ceiling Revenue Shortfall Account since the implementation of the 6.5 cent rate ceiling for customers below 100 kW. Comments on the motion were due July 27</w:t>
      </w:r>
      <w:r>
        <w:rPr>
          <w:vertAlign w:val="superscript"/>
        </w:rPr>
        <w:t>th</w:t>
      </w:r>
      <w:r>
        <w:rPr/>
        <w:t xml:space="preserve">.   </w:t>
      </w:r>
    </w:p>
    <w:p>
      <w:pPr>
        <w:pStyle w:val="Normal"/>
        <w:ind w:hanging="720" w:start="720" w:end="0"/>
        <w:jc w:val="both"/>
        <w:rPr/>
      </w:pPr>
      <w:r>
        <w:rPr/>
      </w:r>
    </w:p>
    <w:p>
      <w:pPr>
        <w:pStyle w:val="Normal"/>
        <w:ind w:hanging="720" w:start="720" w:end="0"/>
        <w:jc w:val="both"/>
        <w:rPr/>
      </w:pPr>
      <w:r>
        <w:rPr/>
        <w:t>*</w:t>
        <w:tab/>
        <w:t>On August 27, 2001, the Commission issued a proposed decision that would adopt a system average rate increase of 1.46 cents/kWh for SDG&amp;E customers.  The monies collected will be used solely to fund DWR power purchase costs.  The proposed decision determines that neither the rate cap on SDG&amp;E small customers nor the rate freeze on large customers affects the Commission’s responsibility under AB1X to increase rates to implement DWR’s revenue requirement.  The Commission was scheduled to vote on the proposed decision at its September 6</w:t>
      </w:r>
      <w:r>
        <w:rPr>
          <w:vertAlign w:val="superscript"/>
        </w:rPr>
        <w:t>th</w:t>
      </w:r>
      <w:r>
        <w:rPr/>
        <w:t xml:space="preserve"> meeting, but has delayed the vote until its September 13, 2001 continuation meeting.   </w:t>
      </w:r>
    </w:p>
    <w:p>
      <w:pPr>
        <w:pStyle w:val="Normal"/>
        <w:ind w:hanging="720" w:start="720" w:end="0"/>
        <w:jc w:val="both"/>
        <w:rPr/>
      </w:pPr>
      <w:r>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w:t>
      </w:r>
    </w:p>
    <w:p>
      <w:pPr>
        <w:pStyle w:val="Normal"/>
        <w:tabs>
          <w:tab w:val="clear" w:pos="720"/>
          <w:tab w:val="left" w:pos="-270" w:leader="none"/>
        </w:tabs>
        <w:ind w:hanging="630" w:start="720" w:end="0"/>
        <w:jc w:val="both"/>
        <w:rPr/>
      </w:pPr>
      <w:r>
        <w:rPr/>
      </w:r>
    </w:p>
    <w:p>
      <w:pPr>
        <w:pStyle w:val="Normal"/>
        <w:tabs>
          <w:tab w:val="clear" w:pos="720"/>
          <w:tab w:val="left" w:pos="-270" w:leader="none"/>
        </w:tabs>
        <w:ind w:hanging="630" w:start="720" w:end="0"/>
        <w:jc w:val="both"/>
        <w:rPr/>
      </w:pPr>
      <w:r>
        <w:rPr/>
        <w:tab/>
        <w:t>On July 6</w:t>
      </w:r>
      <w:r>
        <w:rPr>
          <w:vertAlign w:val="superscript"/>
        </w:rPr>
        <w:t>th</w:t>
      </w:r>
      <w:r>
        <w:rPr/>
        <w:t xml:space="preserve"> a Scoping Memo was issued establishing a schedule which calls for opening testimony by the utilities on August 3</w:t>
      </w:r>
      <w:r>
        <w:rPr>
          <w:vertAlign w:val="superscript"/>
        </w:rPr>
        <w:t>rd</w:t>
      </w:r>
      <w:r>
        <w:rPr/>
        <w:t>, intervenor testimony on August 17</w:t>
      </w:r>
      <w:r>
        <w:rPr>
          <w:vertAlign w:val="superscript"/>
        </w:rPr>
        <w:t>th</w:t>
      </w:r>
      <w:r>
        <w:rPr/>
        <w:t>, rebuttal testimony on August 24</w:t>
      </w:r>
      <w:r>
        <w:rPr>
          <w:vertAlign w:val="superscript"/>
        </w:rPr>
        <w:t>th</w:t>
      </w:r>
      <w:r>
        <w:rPr/>
        <w:t xml:space="preserve"> and hearings September 4th-7th.  In the Scoping Memo, the Assigned Commissioner clarified that the issue of cost allocation (i.e., if there is a change in baseline) would not be addressed in this Phase of the proceeding.   </w:t>
      </w:r>
    </w:p>
    <w:p>
      <w:pPr>
        <w:pStyle w:val="Normal"/>
        <w:tabs>
          <w:tab w:val="clear" w:pos="720"/>
          <w:tab w:val="left" w:pos="-270" w:leader="none"/>
        </w:tabs>
        <w:ind w:hanging="630"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applications for rehearing of this decisions are on the Commission’s August 23, 2001 Executive Session Agenda.  It is anticipated that if the decision is upheld, then the Independent Energy Producers will appeal it.  </w:t>
      </w:r>
    </w:p>
    <w:p>
      <w:pPr>
        <w:pStyle w:val="Normal"/>
        <w:ind w:start="720" w:end="0"/>
        <w:jc w:val="both"/>
        <w:rPr/>
      </w:pPr>
      <w:r>
        <w:rPr/>
      </w:r>
    </w:p>
    <w:p>
      <w:pPr>
        <w:pStyle w:val="Normal"/>
        <w:ind w:hanging="720" w:start="720" w:end="0"/>
        <w:jc w:val="both"/>
        <w:rPr/>
      </w:pPr>
      <w:r>
        <w:rPr/>
        <w:t>*</w:t>
        <w:tab/>
        <w:t>On June 1, 2001, Commissioner Lynch issued a draft decision which pre-approved three voluntary QF contract amendments which the UDCs could undertake to effect with their QFs. If such contract amendments were completed prior to July 15, 2001, they would automatically be deemed reasonable. The draft decision also directed the UDCs to pay 15% of all amounts owed to any QF that could demonstrate an immediate need for such funds to continue or reestablish safe and reliable operation. The Commission voted out this order at a continuation meeting held June 13</w:t>
      </w:r>
      <w:r>
        <w:rPr>
          <w:vertAlign w:val="superscript"/>
        </w:rPr>
        <w:t>th</w:t>
      </w:r>
      <w:r>
        <w:rPr/>
        <w:t>.   By decision voted out at its September 6</w:t>
      </w:r>
      <w:r>
        <w:rPr>
          <w:vertAlign w:val="superscript"/>
        </w:rPr>
        <w:t>th</w:t>
      </w:r>
      <w:r>
        <w:rPr/>
        <w:t xml:space="preserve"> meeting, the Commission extended the July 15, 2001 cut off for amending QF contracts until July 31, 2001.</w:t>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w:t>
        <w:tab/>
        <w:t>On August 30, 2001, Enron Energy Services and Enron Energy Marketing filed a second complaint against SCE.  This Complaint, filed pursuant to Rules 10 and 22 of SCE’s tariff, is in the form of a “billing dispute.” The Enron ESPs are disputing the bills received from SCE for their direct access accounts as SCE has removed the cumulative direct access credit balances from those accounts.   A similar complaint was filed against PG&amp;E on September 6, 2001.</w:t>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  The Commission, at the request of DWR, postponed taking action on the decisions.</w:t>
      </w:r>
    </w:p>
    <w:p>
      <w:pPr>
        <w:pStyle w:val="Normal"/>
        <w:ind w:hanging="720" w:start="720" w:end="0"/>
        <w:jc w:val="both"/>
        <w:rPr/>
      </w:pPr>
      <w:r>
        <w:rPr/>
      </w:r>
    </w:p>
    <w:p>
      <w:pPr>
        <w:pStyle w:val="Normal"/>
        <w:ind w:hanging="720" w:start="720" w:end="0"/>
        <w:jc w:val="both"/>
        <w:rPr/>
      </w:pPr>
      <w:r>
        <w:rPr/>
        <w:t>*</w:t>
        <w:tab/>
        <w:t>On August 15, 2001, ALJ Barnett issued a revised proposed decision which did not substantively address SCE’s petition, but which suspended direct access as of September 1, 2001.  On August 27</w:t>
      </w:r>
      <w:r>
        <w:rPr>
          <w:vertAlign w:val="superscript"/>
        </w:rPr>
        <w:t>th</w:t>
      </w:r>
      <w:r>
        <w:rPr/>
        <w:t>, ALJ Barnett once again revised his decision, moving the suspension date back to July 1, 2001.  The Commission was due to vote on the decision at its September 6, 2001 meeting but held the vote until its continuation meeting of the 13</w:t>
      </w:r>
      <w:r>
        <w:rPr>
          <w:vertAlign w:val="superscript"/>
        </w:rPr>
        <w:t>th</w:t>
      </w:r>
      <w:r>
        <w:rPr/>
        <w:t xml:space="preserve">.  </w:t>
      </w:r>
    </w:p>
    <w:p>
      <w:pPr>
        <w:pStyle w:val="Normal"/>
        <w:ind w:hanging="720" w:start="720" w:end="0"/>
        <w:jc w:val="both"/>
        <w:rPr/>
      </w:pPr>
      <w:r>
        <w:rPr/>
      </w:r>
    </w:p>
    <w:p>
      <w:pPr>
        <w:pStyle w:val="Normal"/>
        <w:ind w:hanging="720" w:start="720" w:end="0"/>
        <w:jc w:val="both"/>
        <w:rPr/>
      </w:pPr>
      <w:r>
        <w:rPr/>
        <w:tab/>
        <w:t>On July 10</w:t>
      </w:r>
      <w:r>
        <w:rPr>
          <w:vertAlign w:val="superscript"/>
        </w:rPr>
        <w:t>th</w:t>
      </w:r>
      <w:r>
        <w:rPr/>
        <w:t>, all three UDCs filed a Joint Petition of Decision 99-06-058 to eliminate after December 2000 the requirement that the PX credit be audited to ensure correct inputs.  On July 23, 2001, an ALJ Ruling was issued which granted the relief requested on a temporary basis pending final resolution of the Petition. Responses to the Petition were filed on August 3</w:t>
      </w:r>
      <w:r>
        <w:rPr>
          <w:vertAlign w:val="superscript"/>
        </w:rPr>
        <w:t xml:space="preserve">rd </w:t>
      </w:r>
      <w:r>
        <w:rPr/>
        <w:t>. The UDCs were granted leave to reply to the responses, which they did so on August 15</w:t>
      </w:r>
      <w:r>
        <w:rPr>
          <w:vertAlign w:val="superscript"/>
        </w:rPr>
        <w:t>th</w:t>
      </w:r>
      <w:r>
        <w:rPr/>
        <w:t xml:space="preserve">.    </w:t>
      </w:r>
    </w:p>
    <w:p>
      <w:pPr>
        <w:pStyle w:val="Normal"/>
        <w:ind w:hanging="720" w:start="720" w:end="0"/>
        <w:jc w:val="both"/>
        <w:rPr/>
      </w:pPr>
      <w:r>
        <w:rPr/>
        <w:t xml:space="preserve">      </w:t>
      </w:r>
    </w:p>
    <w:p>
      <w:pPr>
        <w:pStyle w:val="Normal"/>
        <w:ind w:hanging="720" w:start="720" w:end="0"/>
        <w:jc w:val="both"/>
        <w:rPr/>
      </w:pPr>
      <w:r>
        <w:rPr/>
        <w:t xml:space="preserve">    </w:t>
      </w: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pPr>
      <w:r>
        <w:rPr/>
        <w:tab/>
        <w:t>On August 10, 2001, SCE filed a Motion requesting resolution of several direct access credit issues.  Specifically, SCE is seeking determination of how the direct access credit should be calculated from the date SCE ended participation in the Power Exchange’s day ahead and day of markets and how the credits should be calculated on a going forward basis.  Pursuant to Commission Rules, answers to the Motion are due on August 27</w:t>
      </w:r>
      <w:r>
        <w:rPr>
          <w:vertAlign w:val="superscript"/>
        </w:rPr>
        <w:t>th</w:t>
      </w:r>
      <w:r>
        <w:rPr/>
        <w:t xml:space="preserve">.  There is no indication that the Commission will take any action on the motion.     </w:t>
        <w:tab/>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 xml:space="preserve">  </w:t>
      </w:r>
    </w:p>
    <w:p>
      <w:pPr>
        <w:pStyle w:val="Normal"/>
        <w:spacing w:lineRule="exact" w:line="200" w:before="240" w:after="0"/>
        <w:rPr/>
      </w:pPr>
      <w:r>
        <w:rPr>
          <w:rStyle w:val="zzmpTrailerItem"/>
        </w:rPr>
        <w:t>2704/009/X27655-1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765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2001-09-06T19:58:00Z</dcterms:created>
  <dc:creator>JMB</dc:creator>
  <dc:description/>
  <dc:language>en-CA</dc:language>
  <cp:lastModifiedBy>JMB</cp:lastModifiedBy>
  <cp:lastPrinted>2001-02-02T17:13:00Z</cp:lastPrinted>
  <dcterms:modified xsi:type="dcterms:W3CDTF">2001-09-06T19:58:00Z</dcterms:modified>
  <cp:revision>2</cp:revision>
  <dc:subject/>
  <dc:title/>
</cp:coreProperties>
</file>