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ENRON ENERGY SERVICES, INC. and</w:t>
            </w:r>
          </w:p>
          <w:p>
            <w:pPr>
              <w:pStyle w:val="Normal"/>
              <w:spacing w:before="0" w:after="240"/>
              <w:rPr/>
            </w:pPr>
            <w:r>
              <w:rPr/>
              <w:t xml:space="preserve">  </w:t>
            </w:r>
            <w:r>
              <w:rPr/>
              <w:t>ENRON ENERGY MARKETING CORP.,</w:t>
            </w:r>
          </w:p>
          <w:p>
            <w:pPr>
              <w:pStyle w:val="Normal"/>
              <w:spacing w:before="0" w:after="240"/>
              <w:rPr/>
            </w:pPr>
            <w:r>
              <w:rPr/>
              <w:t xml:space="preserve">                                               </w:t>
            </w:r>
            <w:r>
              <w:rPr/>
              <w:t>Complainants</w:t>
            </w:r>
          </w:p>
          <w:p>
            <w:pPr>
              <w:pStyle w:val="Normal"/>
              <w:spacing w:before="0" w:after="240"/>
              <w:rPr/>
            </w:pPr>
            <w:r>
              <w:rPr/>
              <w:t>v.</w:t>
            </w:r>
          </w:p>
          <w:p>
            <w:pPr>
              <w:pStyle w:val="Normal"/>
              <w:spacing w:before="0" w:after="240"/>
              <w:rPr/>
            </w:pPr>
            <w:r>
              <w:rPr/>
              <w:t>PACIFIC GAS AND ELECTRIC COMPANY</w:t>
            </w:r>
          </w:p>
          <w:p>
            <w:pPr>
              <w:pStyle w:val="Normal"/>
              <w:rPr/>
            </w:pPr>
            <w:r>
              <w:rPr/>
              <w:t xml:space="preserve">                                              </w:t>
            </w:r>
            <w:r>
              <w:rPr/>
              <w:t>Defendant</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Case __________</w:t>
            </w:r>
          </w:p>
        </w:tc>
      </w:tr>
    </w:tbl>
    <w:p>
      <w:pPr>
        <w:pStyle w:val="Normal"/>
        <w:rPr/>
      </w:pPr>
      <w:r>
        <w:rPr/>
      </w:r>
    </w:p>
    <w:p>
      <w:pPr>
        <w:pStyle w:val="Normal"/>
        <w:rPr/>
      </w:pPr>
      <w:r>
        <w:rPr/>
      </w:r>
    </w:p>
    <w:p>
      <w:pPr>
        <w:pStyle w:val="Normal"/>
        <w:rPr/>
      </w:pPr>
      <w:r>
        <w:rPr/>
      </w:r>
    </w:p>
    <w:p>
      <w:pPr>
        <w:pStyle w:val="Normal"/>
        <w:jc w:val="center"/>
        <w:rPr>
          <w:b/>
        </w:rPr>
      </w:pPr>
      <w:r>
        <w:rPr>
          <w:b/>
        </w:rPr>
      </w:r>
    </w:p>
    <w:p>
      <w:pPr>
        <w:pStyle w:val="Normal"/>
        <w:jc w:val="center"/>
        <w:rPr>
          <w:b/>
        </w:rPr>
      </w:pPr>
      <w:r>
        <w:rPr>
          <w:b/>
        </w:rPr>
        <w:t>COMPLAINT</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pacing w:before="120" w:after="0"/>
              <w:rPr/>
            </w:pPr>
            <w:r>
              <w:rPr/>
              <w:t>Date:  August __, 2001</w:t>
            </w:r>
          </w:p>
        </w:tc>
        <w:tc>
          <w:tcPr>
            <w:tcW w:w="5040" w:type="dxa"/>
            <w:tcBorders/>
            <w:vAlign w:val="bottom"/>
          </w:tcPr>
          <w:p>
            <w:pPr>
              <w:pStyle w:val="Normal"/>
              <w:rPr/>
            </w:pPr>
            <w:r>
              <w:rPr/>
              <w:t>GOODIN, MACBRIDE, SQUERI,</w:t>
              <w:br/>
              <w:t>RITCHIE &amp; DAY, LLP</w:t>
            </w:r>
          </w:p>
          <w:p>
            <w:pPr>
              <w:pStyle w:val="Normal"/>
              <w:rPr/>
            </w:pPr>
            <w:r>
              <w:rPr/>
              <w:t xml:space="preserve">Michael B. Day </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Enron Energy Services, Inc. and</w:t>
            </w:r>
          </w:p>
          <w:p>
            <w:pPr>
              <w:pStyle w:val="Normal"/>
              <w:rPr/>
            </w:pPr>
            <w:r>
              <w:rPr/>
              <w:t>Enron Energy Marketing Corp.</w:t>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ENRON ENERGY SERVICES, INC. and</w:t>
            </w:r>
          </w:p>
          <w:p>
            <w:pPr>
              <w:pStyle w:val="Normal"/>
              <w:spacing w:before="0" w:after="240"/>
              <w:rPr/>
            </w:pPr>
            <w:r>
              <w:rPr/>
              <w:t xml:space="preserve">  </w:t>
            </w:r>
            <w:r>
              <w:rPr/>
              <w:t>ENRON ENERGY MARKETING CORP.,</w:t>
            </w:r>
          </w:p>
          <w:p>
            <w:pPr>
              <w:pStyle w:val="Normal"/>
              <w:spacing w:before="0" w:after="240"/>
              <w:rPr/>
            </w:pPr>
            <w:r>
              <w:rPr/>
              <w:t xml:space="preserve">                                               </w:t>
            </w:r>
            <w:r>
              <w:rPr/>
              <w:t>Complainants</w:t>
            </w:r>
          </w:p>
          <w:p>
            <w:pPr>
              <w:pStyle w:val="Normal"/>
              <w:spacing w:before="0" w:after="240"/>
              <w:rPr/>
            </w:pPr>
            <w:r>
              <w:rPr/>
              <w:t>v.</w:t>
            </w:r>
          </w:p>
          <w:p>
            <w:pPr>
              <w:pStyle w:val="Normal"/>
              <w:spacing w:before="0" w:after="240"/>
              <w:rPr/>
            </w:pPr>
            <w:r>
              <w:rPr/>
              <w:t>PACIFIC GAS AND ELECTRIC COMPANY</w:t>
            </w:r>
          </w:p>
          <w:p>
            <w:pPr>
              <w:pStyle w:val="Normal"/>
              <w:rPr/>
            </w:pPr>
            <w:r>
              <w:rPr/>
              <w:t xml:space="preserve">                                              </w:t>
            </w:r>
            <w:r>
              <w:rPr/>
              <w:t>Defendant</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Case __________</w:t>
            </w:r>
          </w:p>
        </w:tc>
      </w:tr>
    </w:tbl>
    <w:p>
      <w:pPr>
        <w:pStyle w:val="Normal"/>
        <w:jc w:val="both"/>
        <w:rPr>
          <w:b/>
        </w:rPr>
      </w:pPr>
      <w:r>
        <w:rPr>
          <w:b/>
        </w:rPr>
      </w:r>
    </w:p>
    <w:p>
      <w:pPr>
        <w:pStyle w:val="Normal"/>
        <w:jc w:val="center"/>
        <w:rPr>
          <w:b/>
        </w:rPr>
      </w:pPr>
      <w:r>
        <w:rPr>
          <w:b/>
        </w:rPr>
        <w:t>COMPLAINT</w:t>
      </w:r>
    </w:p>
    <w:p>
      <w:pPr>
        <w:pStyle w:val="Normal"/>
        <w:jc w:val="center"/>
        <w:rPr>
          <w:b/>
        </w:rPr>
      </w:pPr>
      <w:r>
        <w:rPr>
          <w:b/>
        </w:rPr>
      </w:r>
    </w:p>
    <w:p>
      <w:pPr>
        <w:pStyle w:val="BodyText"/>
        <w:spacing w:lineRule="auto" w:line="480" w:before="0" w:after="0"/>
        <w:ind w:firstLine="720" w:end="0"/>
        <w:jc w:val="both"/>
        <w:rPr/>
      </w:pPr>
      <w:r>
        <w:rPr/>
        <w:t>Pursuant to Section 1702 of the Public Utilities Code and the applicable provisions of Rules 10 and 22 of Pacific Gas and Electric Company’s tariff, Complainants Enron Energy Services, Inc. (“EESI”) and Enron Energy Marketing Corp. (“EEMC”) (collectively, “Enron” or Complainants”) complain of Defendant Pacific Gas and Electric Company (“Defendant” or “PG&amp;E”) and allege as follows:</w:t>
      </w:r>
    </w:p>
    <w:p>
      <w:pPr>
        <w:pStyle w:val="BodyText"/>
        <w:spacing w:lineRule="auto" w:line="480" w:before="0" w:after="0"/>
        <w:ind w:firstLine="720" w:end="0"/>
        <w:jc w:val="center"/>
        <w:rPr>
          <w:b/>
        </w:rPr>
      </w:pPr>
      <w:r>
        <w:rPr>
          <w:b/>
        </w:rPr>
        <w:t>I.</w:t>
      </w:r>
    </w:p>
    <w:p>
      <w:pPr>
        <w:pStyle w:val="BodyText"/>
        <w:ind w:hanging="0" w:end="0"/>
        <w:jc w:val="center"/>
        <w:rPr>
          <w:b/>
        </w:rPr>
      </w:pPr>
      <w:r>
        <w:rPr>
          <w:b/>
        </w:rPr>
        <w:t>INTRODUCTION</w:t>
      </w:r>
    </w:p>
    <w:p>
      <w:pPr>
        <w:pStyle w:val="BodyText"/>
        <w:spacing w:lineRule="auto" w:line="480" w:before="0" w:after="0"/>
        <w:ind w:firstLine="720" w:end="0"/>
        <w:jc w:val="both"/>
        <w:rPr>
          <w:b/>
        </w:rPr>
      </w:pPr>
      <w:r>
        <w:rPr/>
        <w:t xml:space="preserve">The dispute underlying this Complaint is based on Defendant’s failure to recognize on the accounts of certain direct access customers’ amounts owing these customers as a result of unpaid PX credits.  Through this Complaint, Complainants seeks to have those credit balances reinstated on the accounts of these direct access customers.   </w:t>
      </w:r>
    </w:p>
    <w:p>
      <w:pPr>
        <w:pStyle w:val="BodyText"/>
        <w:ind w:firstLine="720" w:end="0"/>
        <w:jc w:val="center"/>
        <w:rPr>
          <w:b/>
        </w:rPr>
      </w:pPr>
      <w:r>
        <w:rPr>
          <w:b/>
        </w:rPr>
        <w:t>II.</w:t>
      </w:r>
    </w:p>
    <w:p>
      <w:pPr>
        <w:pStyle w:val="BodyText"/>
        <w:ind w:firstLine="720" w:end="0"/>
        <w:jc w:val="center"/>
        <w:rPr>
          <w:b/>
        </w:rPr>
      </w:pPr>
      <w:r>
        <w:rPr>
          <w:b/>
        </w:rPr>
        <w:t>RULE 6(b) COMPLIANCE</w:t>
      </w:r>
    </w:p>
    <w:p>
      <w:pPr>
        <w:pStyle w:val="BodyText"/>
        <w:spacing w:lineRule="auto" w:line="480" w:before="0" w:after="0"/>
        <w:ind w:firstLine="720" w:end="0"/>
        <w:jc w:val="both"/>
        <w:rPr/>
      </w:pPr>
      <w:r>
        <w:rPr/>
        <w:t xml:space="preserve">Rule 6(b) of the Commission’s Rules of Practice and Procedure requires Complainants to set forth the proposed category for the proceeding, the need for hearing, the issues to be considered and a proposed schedule.  In compliance with Rule 6(b), Complainants state as follows:   </w:t>
      </w:r>
    </w:p>
    <w:p>
      <w:pPr>
        <w:pStyle w:val="BodyText"/>
        <w:ind w:firstLine="720" w:end="0"/>
        <w:jc w:val="both"/>
        <w:rPr/>
      </w:pPr>
      <w:r>
        <w:rPr/>
        <w:t>(1)</w:t>
        <w:tab/>
        <w:t>The proceeding should be categorized as adjudicatory;</w:t>
      </w:r>
    </w:p>
    <w:p>
      <w:pPr>
        <w:pStyle w:val="BodyText"/>
        <w:ind w:firstLine="720" w:end="0"/>
        <w:jc w:val="both"/>
        <w:rPr/>
      </w:pPr>
      <w:r>
        <w:rPr/>
        <w:t>(2)</w:t>
        <w:tab/>
        <w:t>Hearings will be required; and</w:t>
      </w:r>
    </w:p>
    <w:p>
      <w:pPr>
        <w:pStyle w:val="BodyText"/>
        <w:spacing w:lineRule="auto" w:line="480" w:before="0" w:after="0"/>
        <w:ind w:firstLine="720" w:end="0"/>
        <w:jc w:val="both"/>
        <w:rPr/>
      </w:pPr>
      <w:r>
        <w:rPr/>
        <w:t>(3)</w:t>
        <w:tab/>
        <w:t xml:space="preserve">The issues to be considered are whether PG&amp;E has, as the result of removing the PX credit amount owing from the accounts of certain direct access customers, (a) violated the terms and conditions of its Commission-approved tariffs; (b) overcharged certain accounts for amounts owing PG&amp;E. </w:t>
      </w:r>
    </w:p>
    <w:p>
      <w:pPr>
        <w:pStyle w:val="BodyText"/>
        <w:ind w:firstLine="720" w:end="0"/>
        <w:jc w:val="both"/>
        <w:rPr/>
      </w:pPr>
      <w:r>
        <w:rPr/>
        <w:t xml:space="preserve"> </w:t>
      </w:r>
      <w:r>
        <w:rPr/>
        <w:t>(4)</w:t>
        <w:tab/>
        <w:t xml:space="preserve"> A proposed schedule for resolution of this complaint is:</w:t>
      </w:r>
    </w:p>
    <w:p>
      <w:pPr>
        <w:pStyle w:val="BodyText"/>
        <w:ind w:firstLine="720" w:end="0"/>
        <w:jc w:val="both"/>
        <w:rPr/>
      </w:pPr>
      <w:r>
        <w:rPr/>
        <w:t xml:space="preserve"> </w:t>
      </w:r>
      <w:r>
        <w:rPr/>
        <w:tab/>
        <w:t>Prehearing Conference</w:t>
        <w:tab/>
        <w:t>August __, 2001</w:t>
      </w:r>
    </w:p>
    <w:p>
      <w:pPr>
        <w:pStyle w:val="BodyText"/>
        <w:ind w:firstLine="720" w:end="0"/>
        <w:jc w:val="both"/>
        <w:rPr/>
      </w:pPr>
      <w:r>
        <w:rPr/>
        <w:tab/>
        <w:t>Discovery (if necessary)</w:t>
        <w:tab/>
        <w:t>Through August__, 2001</w:t>
      </w:r>
    </w:p>
    <w:p>
      <w:pPr>
        <w:pStyle w:val="BodyText"/>
        <w:ind w:firstLine="720" w:end="0"/>
        <w:jc w:val="both"/>
        <w:rPr/>
      </w:pPr>
      <w:r>
        <w:rPr/>
        <w:tab/>
        <w:t>Evidentiary Hearings</w:t>
        <w:tab/>
        <w:tab/>
        <w:t>September __, 2001</w:t>
      </w:r>
    </w:p>
    <w:p>
      <w:pPr>
        <w:pStyle w:val="BodyText"/>
        <w:ind w:firstLine="720" w:end="0"/>
        <w:jc w:val="both"/>
        <w:rPr/>
      </w:pPr>
      <w:r>
        <w:rPr/>
        <w:tab/>
        <w:t>Opening Briefs</w:t>
        <w:tab/>
        <w:tab/>
        <w:t>September__, 2001</w:t>
      </w:r>
    </w:p>
    <w:p>
      <w:pPr>
        <w:pStyle w:val="BodyText"/>
        <w:ind w:firstLine="720" w:end="0"/>
        <w:jc w:val="both"/>
        <w:rPr/>
      </w:pPr>
      <w:r>
        <w:rPr/>
        <w:tab/>
        <w:t>Reply Briefs</w:t>
        <w:tab/>
        <w:tab/>
        <w:tab/>
        <w:t>October__, 2001</w:t>
      </w:r>
    </w:p>
    <w:p>
      <w:pPr>
        <w:pStyle w:val="BodyText"/>
        <w:ind w:firstLine="720" w:end="0"/>
        <w:jc w:val="both"/>
        <w:rPr/>
      </w:pPr>
      <w:r>
        <w:rPr/>
        <w:tab/>
        <w:t xml:space="preserve">Proposed Decision </w:t>
        <w:tab/>
        <w:tab/>
        <w:t>November__, 2001</w:t>
      </w:r>
    </w:p>
    <w:p>
      <w:pPr>
        <w:pStyle w:val="BodyText"/>
        <w:ind w:firstLine="720" w:end="0"/>
        <w:jc w:val="both"/>
        <w:rPr/>
      </w:pPr>
      <w:r>
        <w:rPr/>
        <w:tab/>
        <w:t>Commission Decision</w:t>
        <w:tab/>
        <w:tab/>
        <w:t>November__, 2001</w:t>
      </w:r>
    </w:p>
    <w:p>
      <w:pPr>
        <w:pStyle w:val="BodyText"/>
        <w:ind w:firstLine="720" w:end="0"/>
        <w:jc w:val="center"/>
        <w:rPr>
          <w:b/>
        </w:rPr>
      </w:pPr>
      <w:r>
        <w:rPr>
          <w:b/>
        </w:rPr>
        <w:t>III.</w:t>
      </w:r>
    </w:p>
    <w:p>
      <w:pPr>
        <w:pStyle w:val="BodyText"/>
        <w:ind w:firstLine="720" w:end="0"/>
        <w:jc w:val="center"/>
        <w:rPr>
          <w:b/>
        </w:rPr>
      </w:pPr>
      <w:r>
        <w:rPr>
          <w:b/>
        </w:rPr>
        <w:t>ALLEGATIONS</w:t>
      </w:r>
    </w:p>
    <w:p>
      <w:pPr>
        <w:pStyle w:val="BodyText"/>
        <w:spacing w:lineRule="auto" w:line="480" w:before="0" w:after="0"/>
        <w:ind w:firstLine="720" w:end="0"/>
        <w:jc w:val="both"/>
        <w:rPr/>
      </w:pPr>
      <w:r>
        <w:rPr/>
        <w:t>1.</w:t>
        <w:tab/>
        <w:t>Complainant Enron Energy Services, Inc. is a Delaware Corporation, which is registered energy service provider in the state of California.  EESI’s address is:</w:t>
      </w:r>
    </w:p>
    <w:p>
      <w:pPr>
        <w:pStyle w:val="BodyText"/>
        <w:spacing w:before="0" w:after="0"/>
        <w:ind w:firstLine="720" w:end="0"/>
        <w:jc w:val="both"/>
        <w:rPr/>
      </w:pPr>
      <w:r>
        <w:rPr/>
        <w:tab/>
        <w:tab/>
        <w:tab/>
        <w:t>Enron Energy Services, Inc.</w:t>
      </w:r>
    </w:p>
    <w:p>
      <w:pPr>
        <w:pStyle w:val="BodyText"/>
        <w:spacing w:before="0" w:after="0"/>
        <w:ind w:firstLine="720" w:end="0"/>
        <w:jc w:val="both"/>
        <w:rPr/>
      </w:pPr>
      <w:r>
        <w:rPr/>
        <w:tab/>
        <w:tab/>
        <w:tab/>
        <w:t>c/o  Enron Corp.</w:t>
      </w:r>
    </w:p>
    <w:p>
      <w:pPr>
        <w:pStyle w:val="BodyText"/>
        <w:spacing w:before="0" w:after="0"/>
        <w:ind w:firstLine="720" w:end="0"/>
        <w:jc w:val="both"/>
        <w:rPr/>
      </w:pPr>
      <w:r>
        <w:rPr/>
        <w:tab/>
        <w:tab/>
        <w:tab/>
        <w:t>1400 Smith Street</w:t>
      </w:r>
    </w:p>
    <w:p>
      <w:pPr>
        <w:pStyle w:val="BodyText"/>
        <w:spacing w:before="0" w:after="0"/>
        <w:ind w:firstLine="720" w:end="0"/>
        <w:jc w:val="both"/>
        <w:rPr/>
      </w:pPr>
      <w:r>
        <w:rPr/>
        <w:tab/>
        <w:tab/>
        <w:tab/>
        <w:t xml:space="preserve">Houston, Texas 77002 </w:t>
      </w:r>
    </w:p>
    <w:p>
      <w:pPr>
        <w:pStyle w:val="BodyText"/>
        <w:spacing w:before="0" w:after="0"/>
        <w:ind w:firstLine="720" w:end="0"/>
        <w:jc w:val="both"/>
        <w:rPr/>
      </w:pPr>
      <w:r>
        <w:rPr/>
      </w:r>
    </w:p>
    <w:p>
      <w:pPr>
        <w:pStyle w:val="BodyText"/>
        <w:spacing w:lineRule="auto" w:line="480" w:before="0" w:after="0"/>
        <w:ind w:firstLine="720" w:end="0"/>
        <w:jc w:val="both"/>
        <w:rPr/>
      </w:pPr>
      <w:r>
        <w:rPr/>
        <w:tab/>
        <w:t>Complainant Enron Energy Marketing Corp., is a Delaware Corporation, which is a registered energy service provider in the state of California.   EEMC’s address is:</w:t>
      </w:r>
    </w:p>
    <w:p>
      <w:pPr>
        <w:pStyle w:val="BodyText"/>
        <w:spacing w:before="0" w:after="0"/>
        <w:ind w:firstLine="720" w:end="0"/>
        <w:jc w:val="both"/>
        <w:rPr/>
      </w:pPr>
      <w:r>
        <w:rPr/>
        <w:tab/>
        <w:tab/>
        <w:tab/>
        <w:t>Enron Energy Marketing Company</w:t>
      </w:r>
    </w:p>
    <w:p>
      <w:pPr>
        <w:pStyle w:val="BodyText"/>
        <w:spacing w:before="0" w:after="0"/>
        <w:ind w:firstLine="720" w:end="0"/>
        <w:jc w:val="both"/>
        <w:rPr/>
      </w:pPr>
      <w:r>
        <w:rPr/>
        <w:tab/>
        <w:tab/>
        <w:tab/>
        <w:t>c/o Enron Corp.</w:t>
      </w:r>
    </w:p>
    <w:p>
      <w:pPr>
        <w:pStyle w:val="BodyText"/>
        <w:spacing w:before="0" w:after="0"/>
        <w:ind w:firstLine="720" w:end="0"/>
        <w:jc w:val="both"/>
        <w:rPr/>
      </w:pPr>
      <w:r>
        <w:rPr/>
        <w:tab/>
        <w:tab/>
        <w:tab/>
        <w:t>1400 Smith Street</w:t>
      </w:r>
    </w:p>
    <w:p>
      <w:pPr>
        <w:pStyle w:val="BodyText"/>
        <w:ind w:firstLine="720" w:end="0"/>
        <w:jc w:val="both"/>
        <w:rPr/>
      </w:pPr>
      <w:r>
        <w:rPr/>
        <w:tab/>
        <w:tab/>
        <w:tab/>
        <w:t>Houston, Texas, 77002</w:t>
      </w:r>
    </w:p>
    <w:p>
      <w:pPr>
        <w:pStyle w:val="BodyText"/>
        <w:spacing w:lineRule="auto" w:line="480" w:before="0" w:after="0"/>
        <w:ind w:firstLine="720" w:end="0"/>
        <w:jc w:val="both"/>
        <w:rPr/>
      </w:pPr>
      <w:r>
        <w:rPr/>
        <w:tab/>
        <w:t>All pleadings, correspondence and other communications concerning this compliant should be directed to Complainants’ attorneys as follows:</w:t>
      </w:r>
    </w:p>
    <w:p>
      <w:pPr>
        <w:pStyle w:val="BodyText"/>
        <w:spacing w:before="0" w:after="0"/>
        <w:ind w:firstLine="720" w:end="0"/>
        <w:jc w:val="both"/>
        <w:rPr/>
      </w:pPr>
      <w:r>
        <w:rPr/>
        <w:tab/>
        <w:tab/>
        <w:tab/>
        <w:t>Michael B. Day</w:t>
      </w:r>
    </w:p>
    <w:p>
      <w:pPr>
        <w:pStyle w:val="BodyText"/>
        <w:spacing w:before="0" w:after="0"/>
        <w:ind w:firstLine="720" w:end="0"/>
        <w:jc w:val="both"/>
        <w:rPr/>
      </w:pPr>
      <w:r>
        <w:rPr/>
        <w:tab/>
        <w:tab/>
        <w:tab/>
        <w:t>Jeanne M Bennett</w:t>
      </w:r>
    </w:p>
    <w:p>
      <w:pPr>
        <w:pStyle w:val="BodyText"/>
        <w:spacing w:before="0" w:after="0"/>
        <w:ind w:firstLine="720" w:end="0"/>
        <w:jc w:val="both"/>
        <w:rPr/>
      </w:pPr>
      <w:r>
        <w:rPr/>
        <w:tab/>
        <w:tab/>
        <w:tab/>
        <w:t>Goodin, MacBride, Squeri, Ritchie and Day</w:t>
      </w:r>
    </w:p>
    <w:p>
      <w:pPr>
        <w:pStyle w:val="BodyText"/>
        <w:spacing w:before="0" w:after="0"/>
        <w:ind w:firstLine="720" w:end="0"/>
        <w:jc w:val="both"/>
        <w:rPr/>
      </w:pPr>
      <w:r>
        <w:rPr/>
        <w:tab/>
        <w:tab/>
        <w:tab/>
        <w:t>505 Sansome Street, 9</w:t>
      </w:r>
      <w:r>
        <w:rPr>
          <w:vertAlign w:val="superscript"/>
        </w:rPr>
        <w:t>th</w:t>
      </w:r>
      <w:r>
        <w:rPr/>
        <w:t xml:space="preserve"> Floor</w:t>
      </w:r>
    </w:p>
    <w:p>
      <w:pPr>
        <w:pStyle w:val="BodyText"/>
        <w:spacing w:before="0" w:after="0"/>
        <w:ind w:firstLine="720" w:end="0"/>
        <w:jc w:val="both"/>
        <w:rPr/>
      </w:pPr>
      <w:r>
        <w:rPr/>
        <w:tab/>
        <w:tab/>
        <w:tab/>
        <w:t>San Francisco, CA 941111</w:t>
      </w:r>
    </w:p>
    <w:p>
      <w:pPr>
        <w:pStyle w:val="BodyText"/>
        <w:spacing w:before="0" w:after="0"/>
        <w:ind w:firstLine="720" w:end="0"/>
        <w:jc w:val="both"/>
        <w:rPr/>
      </w:pPr>
      <w:r>
        <w:rPr/>
        <w:tab/>
        <w:tab/>
        <w:tab/>
        <w:t>Telephone:  415-392-7900</w:t>
      </w:r>
    </w:p>
    <w:p>
      <w:pPr>
        <w:pStyle w:val="BodyText"/>
        <w:ind w:firstLine="720" w:end="0"/>
        <w:jc w:val="both"/>
        <w:rPr/>
      </w:pPr>
      <w:r>
        <w:rPr/>
        <w:tab/>
        <w:tab/>
        <w:tab/>
        <w:t>Facsimile:  415-398-4321</w:t>
      </w:r>
    </w:p>
    <w:p>
      <w:pPr>
        <w:pStyle w:val="BodyText"/>
        <w:spacing w:lineRule="auto" w:line="480" w:before="0" w:after="0"/>
        <w:ind w:firstLine="720" w:end="0"/>
        <w:jc w:val="both"/>
        <w:rPr/>
      </w:pPr>
      <w:r>
        <w:rPr/>
        <w:t>2.</w:t>
        <w:tab/>
        <w:t>Complainants are informed and believe, and on that basis allege the following:  Defendant, Pacific Gas and Electric Company, is a California public utility operating under the jurisdiction of the Commission.  PG&amp;E’s primary business is the distribution of electric energy and gas.  Its primary business address and telephone number are:</w:t>
      </w:r>
    </w:p>
    <w:p>
      <w:pPr>
        <w:pStyle w:val="BodyText"/>
        <w:spacing w:before="0" w:after="0"/>
        <w:ind w:firstLine="720" w:end="0"/>
        <w:jc w:val="both"/>
        <w:rPr/>
      </w:pPr>
      <w:r>
        <w:rPr/>
        <w:tab/>
        <w:tab/>
        <w:tab/>
        <w:t>77 Beale Street</w:t>
      </w:r>
    </w:p>
    <w:p>
      <w:pPr>
        <w:pStyle w:val="BodyText"/>
        <w:spacing w:before="0" w:after="0"/>
        <w:ind w:firstLine="720" w:end="0"/>
        <w:jc w:val="both"/>
        <w:rPr/>
      </w:pPr>
      <w:r>
        <w:rPr/>
        <w:tab/>
        <w:tab/>
        <w:tab/>
        <w:t>P.O. Box 7442</w:t>
      </w:r>
    </w:p>
    <w:p>
      <w:pPr>
        <w:pStyle w:val="BodyText"/>
        <w:spacing w:before="0" w:after="0"/>
        <w:ind w:firstLine="720" w:end="0"/>
        <w:jc w:val="both"/>
        <w:rPr/>
      </w:pPr>
      <w:r>
        <w:rPr/>
        <w:tab/>
        <w:tab/>
        <w:tab/>
        <w:t>San Francisco, CA 94120</w:t>
      </w:r>
    </w:p>
    <w:p>
      <w:pPr>
        <w:pStyle w:val="BodyText"/>
        <w:spacing w:before="0" w:after="0"/>
        <w:ind w:firstLine="720" w:end="0"/>
        <w:jc w:val="both"/>
        <w:rPr/>
      </w:pPr>
      <w:r>
        <w:rPr/>
        <w:tab/>
        <w:tab/>
        <w:tab/>
        <w:t>Attn: Peter Ouborg, Esq.</w:t>
      </w:r>
    </w:p>
    <w:p>
      <w:pPr>
        <w:pStyle w:val="BodyText"/>
        <w:spacing w:before="0" w:after="0"/>
        <w:ind w:firstLine="720" w:end="0"/>
        <w:jc w:val="both"/>
        <w:rPr/>
      </w:pPr>
      <w:r>
        <w:rPr/>
        <w:tab/>
        <w:tab/>
        <w:tab/>
        <w:t>Telephone: 415-973-2286</w:t>
      </w:r>
    </w:p>
    <w:p>
      <w:pPr>
        <w:pStyle w:val="BodyText"/>
        <w:ind w:firstLine="720" w:start="720" w:end="0"/>
        <w:jc w:val="both"/>
        <w:rPr/>
      </w:pPr>
      <w:r>
        <w:rPr/>
      </w:r>
    </w:p>
    <w:p>
      <w:pPr>
        <w:pStyle w:val="BodyText"/>
        <w:tabs>
          <w:tab w:val="clear" w:pos="720"/>
          <w:tab w:val="left" w:pos="9270" w:leader="none"/>
        </w:tabs>
        <w:spacing w:lineRule="auto" w:line="480" w:before="0" w:after="0"/>
        <w:ind w:hanging="0" w:end="0"/>
        <w:jc w:val="both"/>
        <w:rPr/>
      </w:pPr>
      <w:r>
        <w:rPr/>
        <w:t>Complainants are energy service providers in the state of California, both of which have executed, and have been operating pursuant to, Energy Service Provider Service Agreements with PG&amp;E.</w:t>
      </w:r>
    </w:p>
    <w:p>
      <w:pPr>
        <w:pStyle w:val="BodyText"/>
        <w:spacing w:lineRule="auto" w:line="480" w:before="0" w:after="0"/>
        <w:ind w:firstLine="720" w:end="0"/>
        <w:jc w:val="both"/>
        <w:rPr/>
      </w:pPr>
      <w:r>
        <w:rPr/>
        <w:t>4.</w:t>
        <w:tab/>
        <w:t>In accord with Section 22 of their respective Energy Service Provider Service Agreements with PG&amp;E, Complainants have been performing ESP consolidated billing for their direct access customers.</w:t>
      </w:r>
    </w:p>
    <w:p>
      <w:pPr>
        <w:pStyle w:val="BodyText"/>
        <w:spacing w:lineRule="auto" w:line="480" w:before="0" w:after="0"/>
        <w:ind w:firstLine="720" w:end="0"/>
        <w:jc w:val="both"/>
        <w:rPr/>
      </w:pPr>
      <w:r>
        <w:rPr/>
        <w:t>5.</w:t>
        <w:tab/>
        <w:t xml:space="preserve">Rule 22, Section K. 3 a. (2) (a) of PG&amp;E’s Commission approved tariff states, in reference to ESP consolidated billing for a direct access customer, that “PG&amp;E will calculate all PG&amp;E charges [owed by the direct access customer] once a month and convey these charges to the ESP to be included on the ESP consolidated bill” to the customer.  Under Section K.3.a (3)(c) of that same rule, it is the responsibility of the ESP to “prepare the bill and include both ESP … and PG&amp;E charges.” Under ESP consolidated billing “ESPs must pay all undisputed PG&amp;E charges due to PG&amp;E regardless of whether the customer has paid the ESP.”   </w:t>
      </w:r>
    </w:p>
    <w:p>
      <w:pPr>
        <w:pStyle w:val="BodyText"/>
        <w:spacing w:lineRule="auto" w:line="480" w:before="0" w:after="0"/>
        <w:ind w:firstLine="720" w:end="0"/>
        <w:jc w:val="both"/>
        <w:rPr/>
      </w:pPr>
      <w:r>
        <w:rPr/>
        <w:t>7.</w:t>
        <w:tab/>
        <w:t>At all times during the pendency of their respective Energy Service Provider Service Agreements with PG&amp;E, Complainants have complied with all Commission approved mandates for ESP consolidated billing.</w:t>
      </w:r>
    </w:p>
    <w:p>
      <w:pPr>
        <w:pStyle w:val="BodyText"/>
        <w:spacing w:lineRule="auto" w:line="480" w:before="0" w:after="0"/>
        <w:ind w:firstLine="720" w:end="0"/>
        <w:jc w:val="both"/>
        <w:rPr/>
      </w:pPr>
      <w:r>
        <w:rPr/>
        <w:t>8.</w:t>
        <w:tab/>
        <w:t>PG&amp;E determines the charges owed to it by a direct access customer in accordance with the terms and conditions of the PG&amp;E rate schedule pursuant to which the direct access customer is served.  In this regard, the “Billing Section” of each PG&amp;E rate schedule states with respect to direct access customers that “the bill will be calculated as for a bundled service customer, but the customer will receive a credit for the power exchange component.”</w:t>
      </w:r>
    </w:p>
    <w:p>
      <w:pPr>
        <w:pStyle w:val="BodyText"/>
        <w:spacing w:lineRule="auto" w:line="480" w:before="0" w:after="0"/>
        <w:ind w:firstLine="720" w:end="0"/>
        <w:jc w:val="both"/>
        <w:rPr/>
      </w:pPr>
      <w:r>
        <w:rPr/>
        <w:t xml:space="preserve">9.  </w:t>
        <w:tab/>
        <w:t>The power exchange component was, prior to approximately the end of January 2001, calculated in accordance with PG&amp;E’s Commission approved “Schedule PX”.</w:t>
      </w:r>
      <w:r>
        <w:rPr>
          <w:rStyle w:val="FootnoteCharacters"/>
          <w:rStyle w:val="FootnoteReference"/>
        </w:rPr>
        <w:footnoteReference w:id="2"/>
      </w:r>
      <w:r>
        <w:rPr/>
        <w:t xml:space="preserve"> The schedule set forth the manner in which energy costs for bundled service customers and the corresponding credit for direct access customers is to be calculated.  Through approximately January 12, 2001, this calculation was based solely on PG&amp;E purchases through the PX and California Independent System Operator markets.</w:t>
      </w:r>
    </w:p>
    <w:p>
      <w:pPr>
        <w:pStyle w:val="BodyText"/>
        <w:spacing w:lineRule="auto" w:line="480" w:before="0" w:after="0"/>
        <w:ind w:firstLine="720" w:end="0"/>
        <w:jc w:val="both"/>
        <w:rPr/>
      </w:pPr>
      <w:r>
        <w:rPr/>
        <w:t>10.</w:t>
        <w:tab/>
        <w:t xml:space="preserve">When the PX credit was larger than the generation component of the bundled service frozen rate, but smaller than the entire bundled rate, it operated to offset the transmission and distribution charges on the direct access customer’s bill, thereby reducing the amount that the ESP remitted to PG&amp;E pursuant to the terms of ESP consolidated billing.       </w:t>
      </w:r>
    </w:p>
    <w:p>
      <w:pPr>
        <w:pStyle w:val="BodyText"/>
        <w:spacing w:lineRule="auto" w:line="480" w:before="0" w:after="0"/>
        <w:ind w:firstLine="720" w:end="0"/>
        <w:jc w:val="both"/>
        <w:rPr/>
      </w:pPr>
      <w:r>
        <w:rPr/>
        <w:t>11.</w:t>
        <w:tab/>
        <w:t xml:space="preserve">Beginning in approximately June 2000, the cost of energy in California increased significantly. The cost of PG&amp;E’s purchases of energy through the PX increased, in turn resulting in a significant elevation in the power exchange component of its customer charges.      As the power exchange component for direct access customers is reflected as a credit to their PG&amp;E bill, the size of the credit on direct access customers’ bills increased with the increase in energy prices.  In most instances, the size of the credit became larger than the remaining amount owed to PG&amp;E by the direct access customer (i.e., the amount owed for distribution, transmission, nuclear decommissioning, public purpose programs and CTC).        </w:t>
        <w:tab/>
        <w:t xml:space="preserve"> </w:t>
        <w:tab/>
        <w:t xml:space="preserve"> </w:t>
      </w:r>
    </w:p>
    <w:p>
      <w:pPr>
        <w:pStyle w:val="BodyText"/>
        <w:spacing w:lineRule="auto" w:line="480" w:before="0" w:after="0"/>
        <w:ind w:firstLine="720" w:end="0"/>
        <w:jc w:val="both"/>
        <w:rPr/>
      </w:pPr>
      <w:r>
        <w:rPr/>
        <w:t>12.</w:t>
        <w:tab/>
        <w:t xml:space="preserve">For the period commencing in June 2000 through January 2001, the PG&amp;E charges that were being conveyed to Complainants by PG&amp;E for Complainants’ direct access customers reflected the large PX credits. In almost all instances, the size of these credits were larger than the remaining PG&amp;E charges, resulting in the direct access customer experiencing negative PG&amp;E charges.  </w:t>
      </w:r>
    </w:p>
    <w:p>
      <w:pPr>
        <w:pStyle w:val="BodyText"/>
        <w:spacing w:lineRule="auto" w:line="480" w:before="0" w:after="0"/>
        <w:ind w:firstLine="720" w:end="0"/>
        <w:jc w:val="both"/>
        <w:rPr/>
      </w:pPr>
      <w:r>
        <w:rPr/>
        <w:t>13.</w:t>
        <w:tab/>
        <w:t xml:space="preserve">In accordance with the terms of ESP consolidated billing, Complainants reflected the negative PG&amp;E charges (i.e., credits) on the bills sent to their direct access customers. </w:t>
      </w:r>
    </w:p>
    <w:p>
      <w:pPr>
        <w:pStyle w:val="BodyText"/>
        <w:spacing w:lineRule="auto" w:line="480" w:before="0" w:after="0"/>
        <w:ind w:firstLine="720" w:end="0"/>
        <w:jc w:val="both"/>
        <w:rPr/>
      </w:pPr>
      <w:r>
        <w:rPr/>
        <w:t>14.</w:t>
        <w:tab/>
        <w:t>Neither Complainants nor their customers received, or were presented the option to receive, payment from PG&amp;E for the accumulating negative charges.</w:t>
      </w:r>
    </w:p>
    <w:p>
      <w:pPr>
        <w:pStyle w:val="BodyText"/>
        <w:spacing w:lineRule="auto" w:line="480" w:before="0" w:after="0"/>
        <w:ind w:firstLine="720" w:end="0"/>
        <w:jc w:val="both"/>
        <w:rPr/>
      </w:pPr>
      <w:r>
        <w:rPr/>
        <w:t>15.</w:t>
        <w:tab/>
        <w:t>Efforts to obtain payment from PG&amp;E for the accumulating amounts were unsuccessful.</w:t>
      </w:r>
    </w:p>
    <w:p>
      <w:pPr>
        <w:pStyle w:val="BodyText"/>
        <w:spacing w:lineRule="auto" w:line="480" w:before="0" w:after="0"/>
        <w:ind w:firstLine="720" w:end="0"/>
        <w:jc w:val="both"/>
        <w:rPr/>
      </w:pPr>
      <w:r>
        <w:rPr/>
        <w:t>16.</w:t>
        <w:tab/>
        <w:t xml:space="preserve">Given the size of the amount owing from PG&amp;E </w:t>
      </w:r>
      <w:r>
        <w:rPr>
          <w:b/>
        </w:rPr>
        <w:t>[do we want to state it?]</w:t>
      </w:r>
      <w:r>
        <w:rPr/>
        <w:t xml:space="preserve"> and what at that time appeared to be no end to the ever growing amount owed, in late January 2001, the Enron ESPs commenced the process, in accord with Section ___ of Rule 22, of turning back the majority of their direct access customer accounts in PG&amp;E’s service territory back to PG&amp;E, such that these customers received the electric commodity directly from PG&amp;E.  This process was completed on </w:t>
      </w:r>
      <w:r>
        <w:rPr>
          <w:b/>
        </w:rPr>
        <w:t xml:space="preserve">[date].  </w:t>
      </w:r>
      <w:r>
        <w:rPr/>
        <w:t xml:space="preserve">At the time that these direct access customers were turned back to PG&amp;E, each of their accounts reflected a credit balance for the amount of PX credits owing from PG&amp;E. </w:t>
      </w:r>
    </w:p>
    <w:p>
      <w:pPr>
        <w:pStyle w:val="BodyText"/>
        <w:spacing w:lineRule="auto" w:line="480" w:before="0" w:after="0"/>
        <w:ind w:firstLine="720" w:end="0"/>
        <w:jc w:val="both"/>
        <w:rPr/>
      </w:pPr>
      <w:r>
        <w:rPr/>
        <w:t>17.</w:t>
        <w:tab/>
        <w:t xml:space="preserve"> At all times the Enron ESPs maintained their contractual relationships with their customers such that these customers were made whole on the difference between the cost of the commodity provided by PG&amp;E and the amount provided for in their contracts with the Enron ESPs. </w:t>
      </w:r>
    </w:p>
    <w:p>
      <w:pPr>
        <w:pStyle w:val="BodyText"/>
        <w:spacing w:lineRule="auto" w:line="480" w:before="0" w:after="0"/>
        <w:ind w:firstLine="720" w:end="0"/>
        <w:jc w:val="both"/>
        <w:rPr/>
      </w:pPr>
      <w:r>
        <w:rPr/>
        <w:t>18.</w:t>
        <w:tab/>
        <w:t xml:space="preserve">Starting on </w:t>
      </w:r>
      <w:r>
        <w:rPr>
          <w:b/>
        </w:rPr>
        <w:t>[date]</w:t>
      </w:r>
      <w:r>
        <w:rPr/>
        <w:t xml:space="preserve"> the Enron ESPs began the process of resourcing their direct access customers such that they were once again receiving their electric commodity from the Enron ESPs.  This process was complete on </w:t>
      </w:r>
      <w:r>
        <w:rPr>
          <w:b/>
        </w:rPr>
        <w:t>[date]</w:t>
      </w:r>
    </w:p>
    <w:p>
      <w:pPr>
        <w:pStyle w:val="BodyText"/>
        <w:spacing w:lineRule="auto" w:line="480" w:before="0" w:after="0"/>
        <w:ind w:firstLine="720" w:end="0"/>
        <w:jc w:val="both"/>
        <w:rPr>
          <w:b/>
        </w:rPr>
      </w:pPr>
      <w:r>
        <w:rPr/>
        <w:t>19</w:t>
      </w:r>
      <w:r>
        <w:rPr>
          <w:b/>
        </w:rPr>
        <w:t>.</w:t>
        <w:tab/>
      </w:r>
      <w:r>
        <w:rPr/>
        <w:t xml:space="preserve">On July __, 2001, a letter was sent from Evan Hughes </w:t>
      </w:r>
      <w:r>
        <w:rPr>
          <w:b/>
        </w:rPr>
        <w:t>[title]</w:t>
      </w:r>
      <w:r>
        <w:rPr/>
        <w:t xml:space="preserve"> to </w:t>
      </w:r>
      <w:r>
        <w:rPr>
          <w:b/>
        </w:rPr>
        <w:t>[who]</w:t>
      </w:r>
      <w:r>
        <w:rPr/>
        <w:t xml:space="preserve"> of PG&amp;E. Therein, it was requested that PG&amp;E confirm that the credit balances which were on each of the direct access accounts upon their return to bundled service would, with the transfer of these accounts back to direct access service, be reinstated as a beginning balance.  PG&amp;E </w:t>
      </w:r>
      <w:r>
        <w:rPr>
          <w:b/>
        </w:rPr>
        <w:t>[responded/</w:t>
      </w:r>
      <w:r>
        <w:rPr/>
        <w:t xml:space="preserve"> </w:t>
      </w:r>
      <w:r>
        <w:rPr>
          <w:b/>
        </w:rPr>
        <w:t>did not respond]</w:t>
      </w:r>
      <w:r>
        <w:rPr/>
        <w:t xml:space="preserve"> to this letter </w:t>
      </w:r>
      <w:r>
        <w:rPr>
          <w:b/>
        </w:rPr>
        <w:t>[fill in what they said].</w:t>
      </w:r>
      <w:r>
        <w:rPr/>
        <w:t xml:space="preserve">  </w:t>
      </w:r>
    </w:p>
    <w:p>
      <w:pPr>
        <w:pStyle w:val="BodyText"/>
        <w:spacing w:lineRule="auto" w:line="480" w:before="0" w:after="0"/>
        <w:ind w:firstLine="720" w:end="0"/>
        <w:jc w:val="both"/>
        <w:rPr/>
      </w:pPr>
      <w:r>
        <w:rPr/>
        <w:t>20.</w:t>
        <w:tab/>
        <w:t xml:space="preserve">On </w:t>
      </w:r>
      <w:r>
        <w:rPr>
          <w:b/>
        </w:rPr>
        <w:t xml:space="preserve">[date] </w:t>
      </w:r>
      <w:r>
        <w:rPr/>
        <w:t>the Enron ESPs received their first billing statements from PG&amp;E since the resourcing for certain of the direct access customer accounts.  These accounts no longer reflected the credit balance which were on the accounts when they were temporarily turned back to PG&amp;E bundled service earlier in the year.</w:t>
      </w:r>
    </w:p>
    <w:p>
      <w:pPr>
        <w:pStyle w:val="BodyText"/>
        <w:spacing w:lineRule="auto" w:line="480" w:before="0" w:after="0"/>
        <w:ind w:firstLine="720" w:end="0"/>
        <w:jc w:val="both"/>
        <w:rPr/>
      </w:pPr>
      <w:r>
        <w:rPr/>
        <w:t>21.</w:t>
        <w:tab/>
        <w:t xml:space="preserve">On </w:t>
      </w:r>
      <w:r>
        <w:rPr>
          <w:b/>
        </w:rPr>
        <w:t>[date],</w:t>
      </w:r>
      <w:r>
        <w:rPr/>
        <w:t xml:space="preserve"> the Enron ESPs, in accord with the provisions of Rule 10 of PG&amp;E’s tariff, notified PG&amp;E that they disputed the amount on the billing statements for the various direct access accounts and once again requested that PG&amp;E reinstate the credit balances on the accounts.</w:t>
      </w:r>
    </w:p>
    <w:p>
      <w:pPr>
        <w:pStyle w:val="BodyText"/>
        <w:spacing w:lineRule="auto" w:line="480" w:before="0" w:after="0"/>
        <w:ind w:firstLine="720" w:end="0"/>
        <w:jc w:val="both"/>
        <w:rPr/>
      </w:pPr>
      <w:r>
        <w:rPr/>
        <w:t>22.</w:t>
        <w:tab/>
        <w:t xml:space="preserve">On [date], the Enron ESPs deposited the disputed amounts with the Commission and, through this complaint, are setting forth the basis for the disputed amount.        </w:t>
      </w:r>
      <w:r>
        <w:br w:type="page"/>
      </w:r>
    </w:p>
    <w:p>
      <w:pPr>
        <w:pStyle w:val="BodyText"/>
        <w:ind w:firstLine="720" w:end="0"/>
        <w:jc w:val="center"/>
        <w:rPr>
          <w:b/>
        </w:rPr>
      </w:pPr>
      <w:r>
        <w:rPr>
          <w:b/>
        </w:rPr>
        <w:t>IV.</w:t>
      </w:r>
    </w:p>
    <w:p>
      <w:pPr>
        <w:pStyle w:val="BodyText"/>
        <w:ind w:firstLine="720" w:end="0"/>
        <w:jc w:val="center"/>
        <w:rPr>
          <w:b/>
        </w:rPr>
      </w:pPr>
      <w:r>
        <w:rPr>
          <w:b/>
        </w:rPr>
        <w:t>CAUSE OF ACTION</w:t>
      </w:r>
    </w:p>
    <w:p>
      <w:pPr>
        <w:pStyle w:val="BodyText"/>
        <w:ind w:firstLine="720" w:end="0"/>
        <w:jc w:val="center"/>
        <w:rPr>
          <w:b/>
        </w:rPr>
      </w:pPr>
      <w:r>
        <w:rPr>
          <w:b/>
        </w:rPr>
        <w:t>(Violation of Tariff and Commission Decisions)</w:t>
      </w:r>
    </w:p>
    <w:p>
      <w:pPr>
        <w:pStyle w:val="BodyText"/>
        <w:spacing w:lineRule="auto" w:line="480" w:before="0" w:after="0"/>
        <w:ind w:firstLine="720" w:end="0"/>
        <w:jc w:val="both"/>
        <w:rPr/>
      </w:pPr>
      <w:r>
        <w:rPr/>
        <w:t>20.</w:t>
        <w:tab/>
        <w:t>Complainants hereby incorporate by reference the allegations of Paragraphs 1 through 21 above.</w:t>
      </w:r>
    </w:p>
    <w:p>
      <w:pPr>
        <w:pStyle w:val="BodyText"/>
        <w:spacing w:lineRule="auto" w:line="480" w:before="0" w:after="0"/>
        <w:ind w:firstLine="720" w:end="0"/>
        <w:jc w:val="both"/>
        <w:rPr/>
      </w:pPr>
      <w:r>
        <w:rPr/>
        <w:t>22.</w:t>
        <w:tab/>
        <w:t>At all times alleged herein, Defendant has owed to Complainants the disputed dollar amount which equates with the accumulated level of negative charges reflected in the billing data conveyed to Complainants by Defendant in accord with the terms and conditions of Defendant’s Commission approved tariff.</w:t>
      </w:r>
    </w:p>
    <w:p>
      <w:pPr>
        <w:pStyle w:val="BodyText"/>
        <w:spacing w:lineRule="auto" w:line="480" w:before="0" w:after="0"/>
        <w:ind w:firstLine="720" w:end="0"/>
        <w:jc w:val="both"/>
        <w:rPr/>
      </w:pPr>
      <w:r>
        <w:rPr/>
        <w:t xml:space="preserve">23. There are effectively two mechanisms by which the Enron ESPs and their direct access customers can receive the benefit of their Commission approved direct access credit which is owing to them – PG&amp;E can remit a check to the ESP for the amount of the credit owing or ESP can offset the amount of the credit owing against PG&amp;E transmission and distribution charges.          </w:t>
      </w:r>
    </w:p>
    <w:p>
      <w:pPr>
        <w:pStyle w:val="BodyText"/>
        <w:spacing w:lineRule="auto" w:line="480" w:before="0" w:after="0"/>
        <w:ind w:firstLine="720" w:end="0"/>
        <w:jc w:val="both"/>
        <w:rPr/>
      </w:pPr>
      <w:r>
        <w:rPr/>
        <w:t>24.</w:t>
        <w:tab/>
        <w:t xml:space="preserve">In removing the credit balances from the accounts of the applicable direct access customers, Defendant has acted in violation of Tariff Rule 22 and the applicable rate schedules pursuant to which direct access customers are served as well as prevailing Commission decisions regarding the payment of the PX credit. </w:t>
      </w:r>
    </w:p>
    <w:p>
      <w:pPr>
        <w:pStyle w:val="BodyText"/>
        <w:spacing w:lineRule="auto" w:line="480" w:before="0" w:after="0"/>
        <w:ind w:firstLine="720" w:end="0"/>
        <w:jc w:val="both"/>
        <w:rPr/>
      </w:pPr>
      <w:r>
        <w:rPr/>
        <w:t>25.</w:t>
        <w:tab/>
        <w:t>As a direct result of Defendant’s violation of the applicable provisions of its Commission-approved tariff and Commission decisions, Complainant is effectively denying the Enron ESPs and their direct act access customers the benefits of these credits.</w:t>
      </w:r>
    </w:p>
    <w:p>
      <w:pPr>
        <w:pStyle w:val="BodyText"/>
        <w:ind w:hanging="0" w:end="0"/>
        <w:jc w:val="center"/>
        <w:rPr>
          <w:b/>
        </w:rPr>
      </w:pPr>
      <w:r>
        <w:rPr>
          <w:b/>
        </w:rPr>
        <w:t>V.</w:t>
      </w:r>
    </w:p>
    <w:p>
      <w:pPr>
        <w:pStyle w:val="BodyText"/>
        <w:ind w:hanging="0" w:end="0"/>
        <w:jc w:val="center"/>
        <w:rPr>
          <w:b/>
        </w:rPr>
      </w:pPr>
      <w:r>
        <w:rPr>
          <w:b/>
        </w:rPr>
        <w:t>PRAYER</w:t>
      </w:r>
    </w:p>
    <w:p>
      <w:pPr>
        <w:pStyle w:val="BodyText"/>
        <w:ind w:hanging="0" w:end="0"/>
        <w:jc w:val="both"/>
        <w:rPr/>
      </w:pPr>
      <w:r>
        <w:rPr/>
        <w:tab/>
        <w:t>Wherefore, Complainants pray for relief as follows:</w:t>
      </w:r>
    </w:p>
    <w:p>
      <w:pPr>
        <w:pStyle w:val="BodyText"/>
        <w:spacing w:lineRule="auto" w:line="480" w:before="0" w:after="0"/>
        <w:ind w:firstLine="720" w:end="0"/>
        <w:jc w:val="both"/>
        <w:rPr/>
      </w:pPr>
      <w:r>
        <w:rPr/>
        <w:tab/>
        <w:t>1.</w:t>
        <w:tab/>
        <w:t xml:space="preserve">For an order requiring Defendant to reinstate the credit balances on the accounts of the Enron ESPs’ direct access customers. </w:t>
      </w:r>
    </w:p>
    <w:p>
      <w:pPr>
        <w:pStyle w:val="BodyText"/>
        <w:ind w:hanging="0" w:end="0"/>
        <w:jc w:val="both"/>
        <w:rPr/>
      </w:pPr>
      <w:r>
        <w:rPr/>
        <w:tab/>
        <w:t>2.</w:t>
        <w:tab/>
        <w:t xml:space="preserve">For such other and further relief and the Commission deems just and proper. </w:t>
      </w:r>
    </w:p>
    <w:p>
      <w:pPr>
        <w:pStyle w:val="BodyText"/>
        <w:ind w:firstLine="720" w:end="0"/>
        <w:jc w:val="both"/>
        <w:rPr/>
      </w:pPr>
      <w:r>
        <w:rPr/>
        <w:t xml:space="preserve">        </w:t>
      </w:r>
      <w:r>
        <w:rPr/>
        <w:tab/>
        <w:tab/>
        <w:tab/>
        <w:tab/>
        <w:tab/>
        <w:tab/>
        <w:t>Respectfully submitted,</w:t>
      </w:r>
    </w:p>
    <w:p>
      <w:pPr>
        <w:pStyle w:val="PleadingSignature"/>
        <w:spacing w:before="240" w:after="0"/>
        <w:ind w:start="5040" w:end="0"/>
        <w:rPr/>
      </w:pPr>
      <w:r>
        <w:rPr/>
        <w:t>GOODIN, MACBRIDE, SQUERI,</w:t>
        <w:br/>
        <w:t>RITCHIE &amp; DAY, LLP</w:t>
        <w:tab/>
      </w:r>
    </w:p>
    <w:p>
      <w:pPr>
        <w:pStyle w:val="PleadingSignature"/>
        <w:rPr/>
      </w:pPr>
      <w:r>
        <w:rPr/>
        <w:tab/>
        <w:t>Michael B. Day</w:t>
      </w:r>
    </w:p>
    <w:p>
      <w:pPr>
        <w:pStyle w:val="PleadingSignature"/>
        <w:rPr/>
      </w:pPr>
      <w:r>
        <w:rPr/>
        <w:tab/>
        <w:t>Jeanne M. Bennett</w:t>
      </w:r>
    </w:p>
    <w:p>
      <w:pPr>
        <w:pStyle w:val="PleadingSignature"/>
        <w:tabs>
          <w:tab w:val="left" w:pos="5040" w:leader="none"/>
          <w:tab w:val="left" w:pos="6480" w:leader="none"/>
          <w:tab w:val="right" w:pos="9360" w:leader="none"/>
        </w:tabs>
        <w:ind w:start="5040" w:end="0"/>
        <w:rPr/>
      </w:pPr>
      <w:r>
        <w:rPr/>
        <w:t>505 Sansome Street, Suite 900</w:t>
        <w:br/>
        <w:t>San Francisco, California  94111</w:t>
        <w:br/>
        <w:t>Telephone:</w:t>
        <w:tab/>
        <w:t>(415) 392-7900</w:t>
        <w:br/>
        <w:t>Facsimile:</w:t>
        <w:tab/>
        <w:t>(415) 398-4321</w:t>
      </w:r>
    </w:p>
    <w:p>
      <w:pPr>
        <w:pStyle w:val="PleadingSignature"/>
        <w:spacing w:before="720" w:after="0"/>
        <w:rPr/>
      </w:pPr>
      <w:r>
        <w:rPr/>
        <w:t>By</w:t>
      </w:r>
    </w:p>
    <w:p>
      <w:pPr>
        <w:pStyle w:val="PleadingSignature"/>
        <w:pBdr>
          <w:top w:val="single" w:sz="4" w:space="1" w:color="000000"/>
        </w:pBdr>
        <w:tabs>
          <w:tab w:val="left" w:pos="5040" w:leader="none"/>
          <w:tab w:val="left" w:pos="5846" w:leader="none"/>
          <w:tab w:val="right" w:pos="9360" w:leader="none"/>
        </w:tabs>
        <w:ind w:start="5486" w:end="120"/>
        <w:rPr/>
      </w:pPr>
      <w:r>
        <w:rPr/>
        <w:tab/>
        <w:t>Jeanne M. Bennett</w:t>
      </w:r>
    </w:p>
    <w:p>
      <w:pPr>
        <w:pStyle w:val="PleadingSignature"/>
        <w:spacing w:before="240" w:after="0"/>
        <w:ind w:end="120"/>
        <w:rPr/>
      </w:pPr>
      <w:r>
        <w:rPr/>
        <w:t>Attorneys for Enron Energy Services, Inc.  and Enron Energy Marketing Corp.</w:t>
      </w:r>
    </w:p>
    <w:p>
      <w:pPr>
        <w:pStyle w:val="Normal"/>
        <w:rPr/>
      </w:pPr>
      <w:r>
        <w:rPr/>
      </w:r>
    </w:p>
    <w:p>
      <w:pPr>
        <w:pStyle w:val="BodyText"/>
        <w:tabs>
          <w:tab w:val="clear" w:pos="720"/>
          <w:tab w:val="left" w:pos="9270" w:leader="none"/>
        </w:tabs>
        <w:spacing w:lineRule="auto" w:line="480" w:before="0" w:after="0"/>
        <w:ind w:firstLine="720" w:end="187"/>
        <w:jc w:val="both"/>
        <w:rPr/>
      </w:pPr>
      <w:r>
        <w:rPr/>
        <w:t>August __, 2001</w:t>
      </w:r>
    </w:p>
    <w:p>
      <w:pPr>
        <w:pStyle w:val="BodyText"/>
        <w:tabs>
          <w:tab w:val="clear" w:pos="720"/>
          <w:tab w:val="left" w:pos="9270" w:leader="none"/>
        </w:tabs>
        <w:spacing w:lineRule="auto" w:line="480" w:before="0" w:after="0"/>
        <w:ind w:firstLine="720" w:end="187"/>
        <w:jc w:val="both"/>
        <w:rPr/>
      </w:pPr>
      <w:r>
        <w:rPr/>
      </w:r>
    </w:p>
    <w:p>
      <w:pPr>
        <w:pStyle w:val="Normal"/>
        <w:rPr/>
      </w:pPr>
      <w:r>
        <w:rPr/>
      </w:r>
    </w:p>
    <w:p>
      <w:pPr>
        <w:pStyle w:val="Normal"/>
        <w:spacing w:lineRule="exact" w:line="200" w:before="240" w:after="0"/>
        <w:rPr/>
      </w:pPr>
      <w:r>
        <w:rPr>
          <w:rStyle w:val="zzmpTrailerItem"/>
        </w:rPr>
        <w:t>2704/009/X26576-1</w:t>
      </w:r>
      <w:r>
        <w:rPr/>
        <w:t xml:space="preserve"> </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152" w:footer="720" w:bottom="115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hanging="720" w:start="720" w:end="0"/>
        <w:jc w:val="both"/>
        <w:rPr/>
      </w:pPr>
      <w:r>
        <w:rPr>
          <w:rStyle w:val="FootnoteCharacters"/>
        </w:rPr>
        <w:footnoteRef/>
      </w:r>
      <w:r>
        <w:rPr/>
        <w:t xml:space="preserve"> </w:t>
      </w:r>
      <w:r>
        <w:rPr/>
        <w:tab/>
        <w:t xml:space="preserve">Subsequent to that date PG&amp;E began calculating the credit provided direct access customers in a manner which reflected the fact that it was no longer purchasing power from the Power Exchange. Such methodology has yet to be approved by the Commission. See PG&amp;E Advice 2101-E (April 11, 2001).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009/X26576-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2001-07-30T14:18:00Z</dcterms:created>
  <dc:creator>JMB</dc:creator>
  <dc:description/>
  <dc:language>en-CA</dc:language>
  <cp:lastModifiedBy>JMB</cp:lastModifiedBy>
  <dcterms:modified xsi:type="dcterms:W3CDTF">2001-07-30T14:18:00Z</dcterms:modified>
  <cp:revision>2</cp:revision>
  <dc:subject/>
  <dc:title>BEFORE THE PUBLIC UTILITIES COMMISSION</dc:title>
</cp:coreProperties>
</file>