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 LETTER TO DUNN COMMITTEE</w:t>
      </w:r>
    </w:p>
    <w:p>
      <w:pPr>
        <w:pStyle w:val="Normal"/>
        <w:rPr/>
      </w:pPr>
      <w:r>
        <w:rPr/>
      </w:r>
    </w:p>
    <w:p>
      <w:pPr>
        <w:pStyle w:val="Normal"/>
        <w:rPr/>
      </w:pPr>
      <w:r>
        <w:rPr/>
      </w:r>
    </w:p>
    <w:p>
      <w:pPr>
        <w:pStyle w:val="Normal"/>
        <w:rPr/>
      </w:pPr>
      <w:r>
        <w:rPr/>
        <w:t>Senator Joseph L. Dunn</w:t>
      </w:r>
    </w:p>
    <w:p>
      <w:pPr>
        <w:pStyle w:val="Normal"/>
        <w:rPr/>
      </w:pPr>
      <w:r>
        <w:rPr/>
        <w:t>Select Committee Chair</w:t>
      </w:r>
    </w:p>
    <w:p>
      <w:pPr>
        <w:pStyle w:val="Normal"/>
        <w:rPr/>
      </w:pPr>
      <w:r>
        <w:rPr/>
        <w:t>California State Senate</w:t>
      </w:r>
    </w:p>
    <w:p>
      <w:pPr>
        <w:pStyle w:val="Normal"/>
        <w:rPr/>
      </w:pPr>
      <w:r>
        <w:rPr/>
        <w:t>State Capitol Building</w:t>
      </w:r>
    </w:p>
    <w:p>
      <w:pPr>
        <w:pStyle w:val="Normal"/>
        <w:rPr/>
      </w:pPr>
      <w:r>
        <w:rPr/>
        <w:t>1020 N Street, Room 2080</w:t>
      </w:r>
    </w:p>
    <w:p>
      <w:pPr>
        <w:pStyle w:val="Normal"/>
        <w:rPr/>
      </w:pPr>
      <w:r>
        <w:rPr/>
        <w:t>Sacramento, CA 95814</w:t>
      </w:r>
    </w:p>
    <w:p>
      <w:pPr>
        <w:pStyle w:val="Normal"/>
        <w:rPr/>
      </w:pPr>
      <w:r>
        <w:rPr/>
      </w:r>
    </w:p>
    <w:p>
      <w:pPr>
        <w:pStyle w:val="Normal"/>
        <w:rPr/>
      </w:pPr>
      <w:r>
        <w:rPr/>
      </w:r>
    </w:p>
    <w:p>
      <w:pPr>
        <w:pStyle w:val="Normal"/>
        <w:rPr/>
      </w:pPr>
      <w:r>
        <w:rPr/>
        <w:t>Re:</w:t>
        <w:tab/>
        <w:t>Senate Wholesale Energy Committee Subpoena</w:t>
      </w:r>
    </w:p>
    <w:p>
      <w:pPr>
        <w:pStyle w:val="Normal"/>
        <w:rPr/>
      </w:pPr>
      <w:r>
        <w:rPr/>
      </w:r>
    </w:p>
    <w:p>
      <w:pPr>
        <w:pStyle w:val="Normal"/>
        <w:rPr/>
      </w:pPr>
      <w:r>
        <w:rPr/>
        <w:t>Dear Senator Dunn:</w:t>
      </w:r>
    </w:p>
    <w:p>
      <w:pPr>
        <w:pStyle w:val="Normal"/>
        <w:rPr/>
      </w:pPr>
      <w:r>
        <w:rPr/>
      </w:r>
    </w:p>
    <w:p>
      <w:pPr>
        <w:pStyle w:val="Normal"/>
        <w:ind w:firstLine="1440" w:end="0"/>
        <w:rPr/>
      </w:pPr>
      <w:r>
        <w:rPr/>
        <w:t>In anticipation of the Select Committee’s consideration of a recommendation to the full Senate that Enron be found in contempt, Enron believes that the Committee and the Senate should carefully consider the broader context of the discovery dispute between Enron and the Committee.  As explained in greater detail below, Enron is willing to offer the Committee certain information and documents sought in the Committee’s subpoena, although Enron will not provide information in response to impermissibly intrusive, overbroad or improper requests.</w:t>
      </w:r>
      <w:r>
        <w:rPr>
          <w:b/>
        </w:rPr>
        <w:t xml:space="preserve">[The litigation team will likely wish to edit this language] </w:t>
      </w:r>
      <w:r>
        <w:rPr/>
        <w:t xml:space="preserve"> However, Enron’s willingness to entertain the Committee’s subpoena is in large part dependent upon whether the Committee is truly attempting to explore the factual causes of the problems in the wholesale electric power market in California, or merely seeking to identify a scapegoat to bear the brunt of ratepayers’ and voters’ anger. </w:t>
      </w:r>
    </w:p>
    <w:p>
      <w:pPr>
        <w:pStyle w:val="Normal"/>
        <w:ind w:firstLine="1440" w:end="0"/>
        <w:rPr/>
      </w:pPr>
      <w:r>
        <w:rPr/>
        <w:t xml:space="preserve">The Committee’s motivation bears close scrutiny when Enron, of all the participants in the California energy market, is selected by the Committee to undergo intense scrutiny, virulent public criticism, and extensive discovery by subpoena, to say nothing of being the subject of contempt sanctions.  The focus on Enron is all the more unexpected because even by the calculations of the Independent System Operator’s own consultant Enron was not a significant source of the high wholesale prices about which the State of California so vociferously complains.  </w:t>
      </w:r>
    </w:p>
    <w:p>
      <w:pPr>
        <w:pStyle w:val="Normal"/>
        <w:ind w:firstLine="1440" w:end="0"/>
        <w:rPr/>
      </w:pPr>
      <w:r>
        <w:rPr/>
        <w:t xml:space="preserve">In the letter to Judge Wagner of the Federal Energy Regulatory Commission, the ISO explained that its expert had “backcast” the price mitigation methodology adopted by the FERC in its April 15 and June ?? orders to determine what “excessive” prices had been charged by which parties from June 2000 to the present.  Out of the $8.9 billion in alleged overcharges identified in the ISO consultant’s report, Enron was associated with only $39 million of such charges.  How can the Committee justify concentrating its initial investigation into the wholesale power markets on a party involved in only 0.4% of the potential overcharges?   To be sure Enron does not agree with the ISO consultant’s calculations, which are dependent on myriad assumptions and “what if” calculations that cannot be tied to the facts.   Enron also submits that there is no legal basis for any refunds prior to the October 2, 2000 subject to refund order issued by the FERC, a position with which FERC ALJ Wagner apparently agrees, in light of reports that he has recommended to the full Commission that only $1.? billion in potential refunds should be considered.  If Enron’s $39 million share of the $8.9 billion in liability is reduced proportionately according to Judge Wagner’s calculations, Enron’s potential share of any refundable wholesale electric prices becomes truly insignificant.  </w:t>
      </w:r>
      <w:r>
        <w:rPr>
          <w:b/>
        </w:rPr>
        <w:t>cite to press accounts of Wagner recommendation</w:t>
      </w:r>
    </w:p>
    <w:p>
      <w:pPr>
        <w:pStyle w:val="Normal"/>
        <w:ind w:firstLine="1440" w:end="0"/>
        <w:rPr/>
      </w:pPr>
      <w:r>
        <w:rPr/>
        <w:t>Under these circumstances, how is it that Enron is the primary focus of the Committee’s scrutiny?  In the calculations of the ISO there are federal and municipal power authorities within California, in neighboring states and even in other countries, who the ISO claims are responsible for vastly larger quantities of the alleged refundable wholesale charges. Why are these entities not asked to appear before the Committee or even investigated?  Six other privately-held energy companies are identified as being associated with overcharges in excess of $500 million each.  Enron is literally not even in the same order of magnitude as these parties, yet Enron is vilified as a primary cause of problems in the wholesale market when by the ISO’s own data this is demonstrably not so.</w:t>
      </w:r>
    </w:p>
    <w:p>
      <w:pPr>
        <w:pStyle w:val="Normal"/>
        <w:ind w:firstLine="1440" w:end="0"/>
        <w:rPr/>
      </w:pPr>
      <w:r>
        <w:rPr/>
        <w:t xml:space="preserve">Furthermore, the Committee, and perhaps many more people within California State Government are apparently laboring under substantial misconceptions regarding the role of Enron.  While Enron is frequently included in the category of “generators” throughout this debate, Enron does not own any generation other than a small amount of wind power in California and one cogeneration plant in Nevada, both of which are committed to sell their power under long term contracts. Enron owns no generating plants selling at market prices, and owns no transmission or distribution assets.  It has no assets upon which to build a market power position.  Enron buys its power in the marketplace and resells it to customers, seeking to increase efficiency and liquidity for both buyers and sellers.  Every single kilowatt of the power purchased by Enron during the past year was offered for sale to other parties as well.  </w:t>
      </w:r>
      <w:r>
        <w:rPr>
          <w:b/>
        </w:rPr>
        <w:t>[check this]</w:t>
      </w:r>
      <w:r>
        <w:rPr/>
        <w:t xml:space="preserve"> Enron had no special advantages in purchasing power in the marketplace.  In fact, as a power purchaser attempting to get energy to serve its retail customers, Enron paid the same high prices as the regulated utilities and the DWR.</w:t>
      </w:r>
    </w:p>
    <w:p>
      <w:pPr>
        <w:pStyle w:val="Normal"/>
        <w:ind w:firstLine="1440" w:end="0"/>
        <w:rPr/>
      </w:pPr>
      <w:r>
        <w:rPr/>
        <w:t xml:space="preserve">The cause of the distortions in the wholesale power market is in large part due to the actions of California’s own political and regulatory leadership—which was responsible for adopting a seriously flawed deregulation scheme. California's financial crisis was created by, and is extended by, a series of blunders and a lack of political will by California's political leadership.  Since the severe supply and demand imbalance became apparent in the spring of 2000, California decision makers, rather than addressing the fundamental problems, have instead focused more on blaming this Commission and demonizing “out of state generators” and other suppliers.  This blame-game approach has cost California consumers billions of dollars.  But suppliers to the California market were not the cause of these losses; those suppliers, in fact, are owed, but have not been paid, for billions of dollars worth of electric power that they have delivered to the California administered energy market.  </w:t>
      </w:r>
    </w:p>
    <w:p>
      <w:pPr>
        <w:pStyle w:val="Normal"/>
        <w:ind w:firstLine="1440" w:end="0"/>
        <w:rPr/>
      </w:pPr>
      <w:r>
        <w:rPr/>
        <w:t xml:space="preserve">Enron questions why the Committee has not inquired of the Administration, the Public Utilities Commission and the three major electric utilities why offers from Enron and other generators to sell large quantities of power at fixed prices during the summer of 2000 were rejected.  The rejection of these offers has lead directly to higher prices for consumers in the form of contracts for power signed by the Department of Water Resources (DWR) at prices well in excess of what Enron offered many months ago. </w:t>
      </w:r>
    </w:p>
    <w:p>
      <w:pPr>
        <w:pStyle w:val="Normal"/>
        <w:ind w:firstLine="1440" w:end="0"/>
        <w:rPr/>
      </w:pPr>
      <w:r>
        <w:rPr/>
        <w:t>For instance, had the Public Utility Commission pre-approved San Diego Gas &amp; Electric's (“SDG&amp;E”) purchase of long-term contracts with suppliers, such as Enron, in early 2000, San Diego consumers would have saved $2.5 billion over the 2000-2006 timeframe.   But instead of pre-approving those contracts that offered long-term power at between $45 and $55 per megawatt hour ("MWh"), the CPUC denied approval and forced SDG&amp;E to secure the equivalent amounts of power on the spot market for prices in the range of $300 per MWh.  [</w:t>
      </w:r>
      <w:r>
        <w:rPr>
          <w:b/>
        </w:rPr>
        <w:t>what authority was Enron intending to cite for this?]</w:t>
      </w:r>
      <w:r>
        <w:rPr/>
        <w:t xml:space="preserve"> The State and the utilities failed to take advantage of these offers even after the FERC and others had warned the state that it must end its dangerous dependence on short-term and spot markets.  No legitimate inquiry into the problems in the wholesale power markets can afford to ignore such matters.</w:t>
      </w:r>
    </w:p>
    <w:p>
      <w:pPr>
        <w:pStyle w:val="Normal"/>
        <w:ind w:firstLine="1440" w:end="0"/>
        <w:rPr/>
      </w:pPr>
      <w:r>
        <w:rPr/>
        <w:t xml:space="preserve">In stark contrast to the picture of Enron painted by its most vocal critics in Sacramento, Enron does not seek a wholesale or retail power market structure which provides unfair advantages to marketers, generators or anyone else.  From the first moment that California commenced restructuring its electric markets Enron has advocated a workable and competitive market structure that is fair to all parties, including customers.  The reason for this should be self evident at this point.  If a marketplace is flawed to the extent that prices are unacceptably volatile, customers are beset by a lack of supply and high prices at the same time, and there is political clamor for dramatic change in the markets—that is not a viable or stable market.  Unstable markets discourage investment and innovation and ultimately lead to more costs for consumers and sellers.  California continues to be harmed by this type of political and financial instability which even not is discouraging the investment of private capital in new power plants.  It is precisely to avoid this result that Enron advocates fair, open, and competitive markets that serve all parties’ interests.  </w:t>
      </w:r>
    </w:p>
    <w:p>
      <w:pPr>
        <w:pStyle w:val="Normal"/>
        <w:ind w:firstLine="1440" w:end="0"/>
        <w:rPr/>
      </w:pPr>
      <w:r>
        <w:rPr/>
        <w:t>In fact, Enron repeatedly urged the PUC and the Legislature to not adopt the most harmful elements of the flawed regulatory structure which is at the root of the State’s financial crisis. Enron opposed the mandatory buy-sell rule which locked the utilities and their customers into a fatal dependence on short term and spot purchases.  Enron opposed the residual method of calculating and collecting utility stranded costs, which accelerated the payment of over $20 billion in depreciation to the utilities but made it impossible for retail energy providers to effectively serve end-use customers.   The failure of  California to provide for a viable competitive retail market was another primary reason customers were exposed to the high wholesale prices last summer.  Finally, and most critically, Enron warned California repeatedly that a centralized, government-created power pool which paid all providers the highest clearing price was likely to lead to higher prices and doomed to failure—the way the United Kingdom power pool upon which it was based also failed.  The ultimate failure of the Power Exchange is compelling vindication for Enron’s warnings to California, all of which have been ignored.</w:t>
      </w:r>
    </w:p>
    <w:p>
      <w:pPr>
        <w:pStyle w:val="Normal"/>
        <w:ind w:firstLine="1440" w:end="0"/>
        <w:rPr/>
      </w:pPr>
      <w:r>
        <w:rPr/>
        <w:t>If the Committee is willing to proceed in a manner which appropriately and fairly examines the main causes of California’s financial crisis and the disruptions in the wholesale power market, Enron is more than willing to participate and assist the Committee in addressing the real problems that have harmed buyers and sellers in those markets.  Thus, Enron seeks an opportunity to discuss with the Committee how such an inquiry can proceed, and in that context, Enron is willing to provide a partial response to the Committee’s subpoena.</w:t>
      </w:r>
    </w:p>
    <w:p>
      <w:pPr>
        <w:pStyle w:val="Normal"/>
        <w:ind w:firstLine="1440" w:end="0"/>
        <w:rPr>
          <w:b/>
        </w:rPr>
      </w:pPr>
      <w:r>
        <w:rPr>
          <w:b/>
        </w:rPr>
      </w:r>
    </w:p>
    <w:p>
      <w:pPr>
        <w:pStyle w:val="Normal"/>
        <w:ind w:firstLine="1440" w:end="0"/>
        <w:rPr>
          <w:b/>
        </w:rPr>
      </w:pPr>
      <w:r>
        <w:rPr>
          <w:b/>
        </w:rPr>
      </w:r>
    </w:p>
    <w:p>
      <w:pPr>
        <w:pStyle w:val="Normal"/>
        <w:ind w:firstLine="1440" w:end="0"/>
        <w:rPr>
          <w:b/>
        </w:rPr>
      </w:pPr>
      <w:r>
        <w:rPr>
          <w:b/>
        </w:rPr>
        <w:t>[insert discussion of Enron’s willingness to provide some documents]</w:t>
      </w:r>
    </w:p>
    <w:p>
      <w:pPr>
        <w:pStyle w:val="Normal"/>
        <w:spacing w:lineRule="exact" w:line="200" w:before="240" w:after="0"/>
        <w:ind w:firstLine="1440" w:end="0"/>
        <w:rPr>
          <w:b/>
        </w:rPr>
      </w:pPr>
      <w:r>
        <w:rPr>
          <w:b/>
        </w:rPr>
      </w:r>
    </w:p>
    <w:p>
      <w:pPr>
        <w:pStyle w:val="Normal"/>
        <w:spacing w:lineRule="exact" w:line="200" w:before="240" w:after="0"/>
        <w:rPr/>
      </w:pPr>
      <w:r>
        <w:rPr>
          <w:rStyle w:val="zzmpTrailerItem"/>
        </w:rPr>
        <w:t>2704/149/X26059-1</w:t>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1"/>
    <w:docVar w:name="zzmpFixedDOC_ID" w:val="2704/149/X2605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2001-07-10T14:58:00Z</dcterms:created>
  <dc:creator>Constance Malach</dc:creator>
  <dc:description/>
  <dc:language>en-CA</dc:language>
  <cp:lastModifiedBy>MBD</cp:lastModifiedBy>
  <cp:lastPrinted>2001-07-10T10:28:00Z</cp:lastPrinted>
  <dcterms:modified xsi:type="dcterms:W3CDTF">2001-07-10T14:58:00Z</dcterms:modified>
  <cp:revision>2</cp:revision>
  <dc:subject/>
  <dc:title/>
</cp:coreProperties>
</file>