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t>RETAINED GENERATION TESTIMONY</w:t>
      </w:r>
    </w:p>
    <w:p>
      <w:pPr>
        <w:pStyle w:val="Normal"/>
        <w:jc w:val="both"/>
        <w:rPr>
          <w:b/>
        </w:rPr>
      </w:pPr>
      <w:r>
        <w:rPr>
          <w:b/>
        </w:rPr>
      </w:r>
    </w:p>
    <w:p>
      <w:pPr>
        <w:pStyle w:val="Normal"/>
        <w:jc w:val="both"/>
        <w:rPr>
          <w:b/>
        </w:rPr>
      </w:pPr>
      <w:r>
        <w:rPr>
          <w:b/>
        </w:rPr>
      </w:r>
    </w:p>
    <w:p>
      <w:pPr>
        <w:pStyle w:val="Normal"/>
        <w:jc w:val="both"/>
        <w:rPr>
          <w:b/>
        </w:rPr>
      </w:pPr>
      <w:r>
        <w:rPr>
          <w:b/>
        </w:rPr>
        <w:t>PACIFIC GAS AND ELECTRIC COMPANY</w:t>
      </w:r>
    </w:p>
    <w:p>
      <w:pPr>
        <w:pStyle w:val="Normal"/>
        <w:jc w:val="both"/>
        <w:rPr>
          <w:b/>
        </w:rPr>
      </w:pPr>
      <w:r>
        <w:rPr>
          <w:b/>
        </w:rPr>
      </w:r>
    </w:p>
    <w:p>
      <w:pPr>
        <w:pStyle w:val="Normal"/>
        <w:jc w:val="both"/>
        <w:rPr/>
      </w:pPr>
      <w:r>
        <w:rPr>
          <w:rFonts w:eastAsia="Symbol" w:cs="Symbol" w:ascii="Symbol" w:hAnsi="Symbol"/>
          <w:b/>
        </w:rPr>
        <w:sym w:font="Symbol" w:char="f0b7"/>
      </w:r>
      <w:r>
        <w:rPr/>
        <w:tab/>
      </w:r>
      <w:r>
        <w:rPr>
          <w:b/>
        </w:rPr>
        <w:t>Three revenue requirement scenarios for retained generation facilities</w:t>
      </w:r>
      <w:r>
        <w:rPr/>
        <w:t>.</w:t>
      </w:r>
    </w:p>
    <w:p>
      <w:pPr>
        <w:pStyle w:val="Normal"/>
        <w:jc w:val="both"/>
        <w:rPr/>
      </w:pPr>
      <w:r>
        <w:rPr/>
      </w:r>
    </w:p>
    <w:p>
      <w:pPr>
        <w:pStyle w:val="Normal"/>
        <w:ind w:hanging="720" w:start="1440" w:end="0"/>
        <w:jc w:val="both"/>
        <w:rPr/>
      </w:pPr>
      <w:r>
        <w:rPr>
          <w:rFonts w:eastAsia="Symbol" w:cs="Symbol" w:ascii="Symbol" w:hAnsi="Symbol"/>
        </w:rPr>
        <w:sym w:font="Symbol" w:char="f0b7"/>
      </w:r>
      <w:r>
        <w:rPr/>
        <w:tab/>
        <w:t>PG&amp;E proposes three varying revenue requirement scenarios for its retained generation.</w:t>
      </w:r>
    </w:p>
    <w:p>
      <w:pPr>
        <w:pStyle w:val="Normal"/>
        <w:jc w:val="both"/>
        <w:rPr/>
      </w:pPr>
      <w:r>
        <w:rPr/>
        <w:tab/>
      </w:r>
    </w:p>
    <w:p>
      <w:pPr>
        <w:pStyle w:val="Normal"/>
        <w:ind w:hanging="720" w:start="2160" w:end="0"/>
        <w:jc w:val="both"/>
        <w:rPr/>
      </w:pPr>
      <w:r>
        <w:rPr>
          <w:rFonts w:eastAsia="Symbol" w:cs="Symbol" w:ascii="Symbol" w:hAnsi="Symbol"/>
        </w:rPr>
        <w:sym w:font="Symbol" w:char="f0b7"/>
      </w:r>
      <w:r>
        <w:rPr/>
        <w:tab/>
        <w:t>Scenarios 1 and 2 are based on the rate freeze having terminated by January 1, 2001, while Scenario 3 functions as though it has not ended</w:t>
      </w:r>
    </w:p>
    <w:p>
      <w:pPr>
        <w:pStyle w:val="Normal"/>
        <w:ind w:hanging="720" w:start="2160" w:end="0"/>
        <w:jc w:val="both"/>
        <w:rPr/>
      </w:pPr>
      <w:r>
        <w:rPr/>
      </w:r>
    </w:p>
    <w:p>
      <w:pPr>
        <w:pStyle w:val="Normal"/>
        <w:ind w:hanging="720" w:start="2160" w:end="0"/>
        <w:jc w:val="both"/>
        <w:rPr/>
      </w:pPr>
      <w:r>
        <w:rPr>
          <w:rFonts w:eastAsia="Symbol" w:cs="Symbol" w:ascii="Symbol" w:hAnsi="Symbol"/>
        </w:rPr>
        <w:sym w:font="Symbol" w:char="f0b7"/>
      </w:r>
      <w:r>
        <w:rPr/>
        <w:tab/>
        <w:t>PG&amp;E proposes revenue requirements for 2001 only</w:t>
      </w:r>
    </w:p>
    <w:p>
      <w:pPr>
        <w:pStyle w:val="Normal"/>
        <w:jc w:val="both"/>
        <w:rPr/>
      </w:pPr>
      <w:r>
        <w:rPr/>
        <w:t xml:space="preserve">    </w:t>
      </w:r>
    </w:p>
    <w:p>
      <w:pPr>
        <w:pStyle w:val="Normal"/>
        <w:ind w:hanging="720" w:start="1440" w:end="0"/>
        <w:jc w:val="both"/>
        <w:rPr/>
      </w:pPr>
      <w:r>
        <w:rPr>
          <w:b/>
        </w:rPr>
        <w:t>1.</w:t>
        <w:tab/>
      </w:r>
      <w:r>
        <w:rPr/>
        <w:t>This scenario (favored by PG&amp;E) bases the revenue requirements on a market valuation for PG&amp;E retained generation.</w:t>
      </w:r>
    </w:p>
    <w:p>
      <w:pPr>
        <w:pStyle w:val="Normal"/>
        <w:ind w:hanging="720" w:start="1440" w:end="0"/>
        <w:jc w:val="both"/>
        <w:rPr/>
      </w:pPr>
      <w:r>
        <w:rPr/>
      </w:r>
    </w:p>
    <w:p>
      <w:pPr>
        <w:pStyle w:val="Normal"/>
        <w:ind w:hanging="720" w:start="2160" w:end="0"/>
        <w:jc w:val="both"/>
        <w:rPr/>
      </w:pPr>
      <w:r>
        <w:rPr>
          <w:rFonts w:eastAsia="Symbol" w:cs="Symbol" w:ascii="Symbol" w:hAnsi="Symbol"/>
        </w:rPr>
        <w:sym w:font="Symbol" w:char="f0b7"/>
      </w:r>
      <w:r>
        <w:rPr/>
        <w:tab/>
        <w:t>The valuation for PG&amp;E’s hydro facilities (including Helms) is set at $4.1 billion (this would result in an ending of the freeze as of April 2000)</w:t>
      </w:r>
    </w:p>
    <w:p>
      <w:pPr>
        <w:pStyle w:val="Normal"/>
        <w:ind w:hanging="720" w:start="2160" w:end="0"/>
        <w:jc w:val="both"/>
        <w:rPr/>
      </w:pPr>
      <w:r>
        <w:rPr/>
      </w:r>
    </w:p>
    <w:p>
      <w:pPr>
        <w:pStyle w:val="Normal"/>
        <w:ind w:hanging="720" w:start="2160" w:end="0"/>
        <w:jc w:val="both"/>
        <w:rPr/>
      </w:pPr>
      <w:r>
        <w:rPr>
          <w:rFonts w:eastAsia="Symbol" w:cs="Symbol" w:ascii="Symbol" w:hAnsi="Symbol"/>
        </w:rPr>
        <w:sym w:font="Symbol" w:char="f0b7"/>
      </w:r>
      <w:r>
        <w:rPr/>
        <w:tab/>
        <w:t>Ratemaking for Diablo Canyon is accomplished through a 50/50 sharing of profits</w:t>
      </w:r>
    </w:p>
    <w:p>
      <w:pPr>
        <w:pStyle w:val="Normal"/>
        <w:ind w:hanging="720" w:start="2160" w:end="0"/>
        <w:jc w:val="both"/>
        <w:rPr/>
      </w:pPr>
      <w:r>
        <w:rPr/>
      </w:r>
    </w:p>
    <w:p>
      <w:pPr>
        <w:pStyle w:val="Normal"/>
        <w:ind w:hanging="720" w:start="2160" w:end="0"/>
        <w:jc w:val="both"/>
        <w:rPr/>
      </w:pPr>
      <w:r>
        <w:rPr>
          <w:rFonts w:eastAsia="Symbol" w:cs="Symbol" w:ascii="Symbol" w:hAnsi="Symbol"/>
        </w:rPr>
        <w:sym w:font="Symbol" w:char="f0b7"/>
      </w:r>
      <w:r>
        <w:rPr/>
        <w:tab/>
        <w:t>The annual revenue requirement for PG&amp;E’s retained generation in Scenario 1 is $6.7 billion (including purchased power costs) for 2001</w:t>
      </w:r>
    </w:p>
    <w:p>
      <w:pPr>
        <w:pStyle w:val="Normal"/>
        <w:ind w:hanging="720" w:start="2160" w:end="0"/>
        <w:jc w:val="both"/>
        <w:rPr/>
      </w:pPr>
      <w:r>
        <w:rPr/>
      </w:r>
    </w:p>
    <w:p>
      <w:pPr>
        <w:pStyle w:val="Normal"/>
        <w:ind w:hanging="720" w:start="1440" w:end="0"/>
        <w:jc w:val="both"/>
        <w:rPr/>
      </w:pPr>
      <w:r>
        <w:rPr>
          <w:b/>
        </w:rPr>
        <w:t>2.</w:t>
        <w:tab/>
      </w:r>
      <w:r>
        <w:rPr/>
        <w:t>Scenario 2 is based on end of April 2001 data, after implementation of the TURN accounting adjustment.</w:t>
      </w:r>
    </w:p>
    <w:p>
      <w:pPr>
        <w:pStyle w:val="Normal"/>
        <w:ind w:hanging="720" w:start="1440" w:end="0"/>
        <w:jc w:val="both"/>
        <w:rPr/>
      </w:pPr>
      <w:r>
        <w:rPr/>
      </w:r>
    </w:p>
    <w:p>
      <w:pPr>
        <w:pStyle w:val="Normal"/>
        <w:ind w:hanging="720" w:start="2160" w:end="0"/>
        <w:jc w:val="both"/>
        <w:rPr/>
      </w:pPr>
      <w:r>
        <w:rPr>
          <w:rFonts w:eastAsia="Symbol" w:cs="Symbol" w:ascii="Symbol" w:hAnsi="Symbol"/>
        </w:rPr>
        <w:sym w:font="Symbol" w:char="f0b7"/>
      </w:r>
      <w:r>
        <w:rPr/>
        <w:tab/>
        <w:t>Based on language in Decision 01-03-082, all unrecovered costs in the combined balances of the TCBA, TRA, GABA, generation memorandum accounts and generation plant accounts now constitute the amount to be recovered through ratemaking for retained generation (if the Commission applies the TURN accounting order under this approach all unrecovered costs in PG&amp;E’s generation related accounts are considered unrecovered capital costs of generation facilities)</w:t>
      </w:r>
    </w:p>
    <w:p>
      <w:pPr>
        <w:pStyle w:val="Normal"/>
        <w:ind w:hanging="720" w:start="2160" w:end="0"/>
        <w:jc w:val="both"/>
        <w:rPr/>
      </w:pPr>
      <w:r>
        <w:rPr/>
      </w:r>
    </w:p>
    <w:p>
      <w:pPr>
        <w:pStyle w:val="Normal"/>
        <w:ind w:hanging="720" w:start="2160" w:end="0"/>
        <w:jc w:val="both"/>
        <w:rPr/>
      </w:pPr>
      <w:r>
        <w:rPr>
          <w:rFonts w:eastAsia="Symbol" w:cs="Symbol" w:ascii="Symbol" w:hAnsi="Symbol"/>
        </w:rPr>
        <w:sym w:font="Symbol" w:char="f0b7"/>
      </w:r>
      <w:r>
        <w:rPr/>
        <w:tab/>
        <w:t>This scenario yields a 2001 revenue requirement of $4.0 billion (including purchase power costs)</w:t>
      </w:r>
    </w:p>
    <w:p>
      <w:pPr>
        <w:pStyle w:val="Normal"/>
        <w:ind w:hanging="720" w:start="2160" w:end="0"/>
        <w:jc w:val="both"/>
        <w:rPr/>
      </w:pPr>
      <w:r>
        <w:rPr/>
      </w:r>
    </w:p>
    <w:p>
      <w:pPr>
        <w:pStyle w:val="Normal"/>
        <w:ind w:hanging="720" w:start="1440" w:end="0"/>
        <w:jc w:val="both"/>
        <w:rPr/>
      </w:pPr>
      <w:r>
        <w:rPr>
          <w:b/>
        </w:rPr>
        <w:t>3.</w:t>
        <w:tab/>
      </w:r>
      <w:r>
        <w:rPr/>
        <w:t>Scenario 3 is based on applying the TURN accounting order consistent with SC’s advice filing 1535-E</w:t>
      </w:r>
      <w:r>
        <w:rPr>
          <w:rStyle w:val="FootnoteCharacters"/>
          <w:rStyle w:val="FootnoteReference"/>
        </w:rPr>
        <w:footnoteReference w:id="2"/>
      </w:r>
      <w:r>
        <w:rPr/>
        <w:t>.</w:t>
      </w:r>
    </w:p>
    <w:p>
      <w:pPr>
        <w:pStyle w:val="Normal"/>
        <w:ind w:hanging="720" w:start="1440" w:end="0"/>
        <w:jc w:val="both"/>
        <w:rPr/>
      </w:pPr>
      <w:r>
        <w:rPr/>
      </w:r>
    </w:p>
    <w:p>
      <w:pPr>
        <w:pStyle w:val="Normal"/>
        <w:ind w:hanging="720" w:start="1440" w:end="0"/>
        <w:jc w:val="both"/>
        <w:rPr/>
      </w:pPr>
      <w:r>
        <w:rPr/>
      </w:r>
    </w:p>
    <w:p>
      <w:pPr>
        <w:pStyle w:val="Normal"/>
        <w:ind w:hanging="720" w:start="2160" w:end="0"/>
        <w:jc w:val="both"/>
        <w:rPr/>
      </w:pPr>
      <w:r>
        <w:rPr>
          <w:rFonts w:eastAsia="Symbol" w:cs="Symbol" w:ascii="Symbol" w:hAnsi="Symbol"/>
        </w:rPr>
        <w:sym w:font="Symbol" w:char="f0b7"/>
      </w:r>
      <w:r>
        <w:rPr/>
        <w:tab/>
        <w:t xml:space="preserve">This approach does not included unrecovered power costs in the generation rate base to be recovered prospectively, as odes Scenario 2.  </w:t>
      </w:r>
    </w:p>
    <w:p>
      <w:pPr>
        <w:pStyle w:val="Normal"/>
        <w:ind w:hanging="720" w:start="2160" w:end="0"/>
        <w:jc w:val="both"/>
        <w:rPr/>
      </w:pPr>
      <w:r>
        <w:rPr/>
      </w:r>
    </w:p>
    <w:p>
      <w:pPr>
        <w:pStyle w:val="Normal"/>
        <w:ind w:hanging="720" w:start="2160" w:end="0"/>
        <w:jc w:val="both"/>
        <w:rPr/>
      </w:pPr>
      <w:r>
        <w:rPr>
          <w:rFonts w:eastAsia="Symbol" w:cs="Symbol" w:ascii="Symbol" w:hAnsi="Symbol"/>
        </w:rPr>
        <w:sym w:font="Symbol" w:char="f0b7"/>
      </w:r>
      <w:r>
        <w:rPr/>
        <w:tab/>
        <w:t>This approach does include in generation rates the interim valuation of generation ordered by Decisions 00-02-048 and 00-06-004.</w:t>
      </w:r>
    </w:p>
    <w:p>
      <w:pPr>
        <w:pStyle w:val="Normal"/>
        <w:ind w:hanging="720" w:start="2160" w:end="0"/>
        <w:jc w:val="both"/>
        <w:rPr/>
      </w:pPr>
      <w:r>
        <w:rPr/>
      </w:r>
    </w:p>
    <w:p>
      <w:pPr>
        <w:pStyle w:val="Normal"/>
        <w:ind w:hanging="720" w:start="2160" w:end="0"/>
        <w:jc w:val="both"/>
        <w:rPr/>
      </w:pPr>
      <w:r>
        <w:rPr>
          <w:rFonts w:eastAsia="Symbol" w:cs="Symbol" w:ascii="Symbol" w:hAnsi="Symbol"/>
        </w:rPr>
        <w:sym w:font="Symbol" w:char="f0b7"/>
      </w:r>
      <w:r>
        <w:rPr/>
        <w:tab/>
        <w:t>This scenario has regulatory accounts, including GABA, recovered by the end of 2001 (the transition period) and those generation assets that are on an accelerated amortization schedule thorough the end of the 2001remain so.</w:t>
      </w:r>
    </w:p>
    <w:p>
      <w:pPr>
        <w:pStyle w:val="Normal"/>
        <w:ind w:hanging="720" w:start="2160" w:end="0"/>
        <w:jc w:val="both"/>
        <w:rPr/>
      </w:pPr>
      <w:r>
        <w:rPr>
          <w:rFonts w:eastAsia="Symbol" w:cs="Symbol" w:ascii="Symbol" w:hAnsi="Symbol"/>
        </w:rPr>
        <w:sym w:font="Symbol" w:char="f0b7"/>
      </w:r>
      <w:r>
        <w:rPr/>
        <w:tab/>
        <w:t>This scenario yields a revenue requirement of  $9.4 billion for 2001 (including purchase power costs).</w:t>
      </w:r>
    </w:p>
    <w:p>
      <w:pPr>
        <w:pStyle w:val="Normal"/>
        <w:ind w:hanging="720" w:start="2160" w:end="0"/>
        <w:jc w:val="both"/>
        <w:rPr/>
      </w:pPr>
      <w:r>
        <w:rPr/>
      </w:r>
    </w:p>
    <w:p>
      <w:pPr>
        <w:pStyle w:val="Normal"/>
        <w:jc w:val="both"/>
        <w:rPr/>
      </w:pPr>
      <w:r>
        <w:rPr>
          <w:rFonts w:eastAsia="Symbol" w:cs="Symbol" w:ascii="Symbol" w:hAnsi="Symbol"/>
          <w:b/>
        </w:rPr>
        <w:sym w:font="Symbol" w:char="f0b7"/>
      </w:r>
      <w:r>
        <w:rPr>
          <w:b/>
        </w:rPr>
        <w:tab/>
        <w:t>Purchase Power Costs</w:t>
      </w:r>
    </w:p>
    <w:p>
      <w:pPr>
        <w:pStyle w:val="Normal"/>
        <w:jc w:val="both"/>
        <w:rPr>
          <w:b/>
        </w:rPr>
      </w:pPr>
      <w:r>
        <w:rPr>
          <w:b/>
        </w:rPr>
      </w:r>
    </w:p>
    <w:p>
      <w:pPr>
        <w:pStyle w:val="Normal"/>
        <w:ind w:hanging="720" w:start="1440" w:end="0"/>
        <w:jc w:val="both"/>
        <w:rPr/>
      </w:pPr>
      <w:r>
        <w:rPr>
          <w:rFonts w:eastAsia="Symbol" w:cs="Symbol" w:ascii="Symbol" w:hAnsi="Symbol"/>
          <w:b/>
        </w:rPr>
        <w:sym w:font="Symbol" w:char="f0b7"/>
      </w:r>
      <w:r>
        <w:rPr>
          <w:b/>
        </w:rPr>
        <w:tab/>
      </w:r>
      <w:r>
        <w:rPr/>
        <w:t>PG&amp;E proposes the actual power</w:t>
      </w:r>
      <w:r>
        <w:rPr>
          <w:b/>
        </w:rPr>
        <w:t xml:space="preserve"> </w:t>
      </w:r>
      <w:r>
        <w:rPr/>
        <w:t>purchase costs should be recovered on a month to month basis (i.e., adjust the revenue requirement monthly) because they vary widely and upredictably</w:t>
      </w:r>
    </w:p>
    <w:p>
      <w:pPr>
        <w:pStyle w:val="Normal"/>
        <w:jc w:val="both"/>
        <w:rPr/>
      </w:pPr>
      <w:r>
        <w:rPr/>
        <w:t xml:space="preserve">  </w:t>
      </w:r>
    </w:p>
    <w:p>
      <w:pPr>
        <w:pStyle w:val="Normal"/>
        <w:ind w:hanging="720" w:start="1440" w:end="0"/>
        <w:jc w:val="both"/>
        <w:rPr/>
      </w:pPr>
      <w:r>
        <w:rPr>
          <w:rFonts w:eastAsia="Symbol" w:cs="Symbol" w:ascii="Symbol" w:hAnsi="Symbol"/>
        </w:rPr>
        <w:sym w:font="Symbol" w:char="f0b7"/>
      </w:r>
      <w:r>
        <w:rPr/>
        <w:tab/>
        <w:t>PG&amp;E has provided a preliminary monthly estimate for the period of June through December 2001 of $169 million. This is comprised of $150 million for QF payments; $14 million for bilateral and other power contracts; $8 million for ISO charges.</w:t>
      </w:r>
      <w:r>
        <w:rPr>
          <w:rStyle w:val="FootnoteCharacters"/>
          <w:rStyle w:val="FootnoteReference"/>
        </w:rPr>
        <w:footnoteReference w:id="3"/>
      </w:r>
      <w:r>
        <w:rPr/>
        <w:t xml:space="preserve">   </w:t>
      </w:r>
    </w:p>
    <w:p>
      <w:pPr>
        <w:pStyle w:val="Normal"/>
        <w:ind w:hanging="720" w:start="2160" w:end="0"/>
        <w:jc w:val="both"/>
        <w:rPr/>
      </w:pPr>
      <w:r>
        <w:rPr/>
      </w:r>
    </w:p>
    <w:p>
      <w:pPr>
        <w:pStyle w:val="Normal"/>
        <w:tabs>
          <w:tab w:val="clear" w:pos="720"/>
          <w:tab w:val="left" w:pos="0" w:leader="none"/>
        </w:tabs>
        <w:ind w:hanging="90" w:end="0"/>
        <w:jc w:val="both"/>
        <w:rPr/>
      </w:pPr>
      <w:r>
        <w:rPr>
          <w:rFonts w:eastAsia="Symbol" w:cs="Symbol" w:ascii="Symbol" w:hAnsi="Symbol"/>
          <w:b/>
        </w:rPr>
        <w:sym w:font="Symbol" w:char="f0b7"/>
      </w:r>
      <w:r>
        <w:rPr>
          <w:b/>
        </w:rPr>
        <w:tab/>
        <w:t>Ratemaking if Rate Freeze is Over</w:t>
      </w:r>
    </w:p>
    <w:p>
      <w:pPr>
        <w:pStyle w:val="Normal"/>
        <w:tabs>
          <w:tab w:val="clear" w:pos="720"/>
          <w:tab w:val="left" w:pos="0" w:leader="none"/>
        </w:tabs>
        <w:ind w:hanging="90" w:end="0"/>
        <w:jc w:val="both"/>
        <w:rPr>
          <w:b/>
        </w:rPr>
      </w:pPr>
      <w:r>
        <w:rPr>
          <w:b/>
        </w:rPr>
      </w:r>
    </w:p>
    <w:p>
      <w:pPr>
        <w:pStyle w:val="Normal"/>
        <w:tabs>
          <w:tab w:val="clear" w:pos="720"/>
          <w:tab w:val="left" w:pos="-90" w:leader="none"/>
        </w:tabs>
        <w:ind w:hanging="720" w:start="1440" w:end="0"/>
        <w:jc w:val="both"/>
        <w:rPr/>
      </w:pPr>
      <w:r>
        <w:rPr>
          <w:rFonts w:eastAsia="Symbol" w:cs="Symbol" w:ascii="Symbol" w:hAnsi="Symbol"/>
        </w:rPr>
        <w:sym w:font="Symbol" w:char="f0b7"/>
      </w:r>
      <w:r>
        <w:rPr/>
        <w:tab/>
        <w:t>Implement the Purchased Electric Commodity Account (PECA) approved in D. 00-06-034 with changes</w:t>
      </w:r>
    </w:p>
    <w:p>
      <w:pPr>
        <w:pStyle w:val="Normal"/>
        <w:tabs>
          <w:tab w:val="clear" w:pos="720"/>
          <w:tab w:val="left" w:pos="-90" w:leader="none"/>
        </w:tabs>
        <w:ind w:hanging="720" w:start="1440" w:end="0"/>
        <w:jc w:val="both"/>
        <w:rPr/>
      </w:pPr>
      <w:r>
        <w:rPr/>
      </w:r>
    </w:p>
    <w:p>
      <w:pPr>
        <w:pStyle w:val="Normal"/>
        <w:tabs>
          <w:tab w:val="clear" w:pos="720"/>
          <w:tab w:val="left" w:pos="-90" w:leader="none"/>
        </w:tabs>
        <w:ind w:hanging="720" w:start="2160" w:end="0"/>
        <w:jc w:val="both"/>
        <w:rPr/>
      </w:pPr>
      <w:r>
        <w:rPr>
          <w:rFonts w:eastAsia="Symbol" w:cs="Symbol" w:ascii="Symbol" w:hAnsi="Symbol"/>
        </w:rPr>
        <w:sym w:font="Symbol" w:char="f0b7"/>
      </w:r>
      <w:r>
        <w:rPr/>
        <w:tab/>
        <w:t xml:space="preserve">Make it so it consists of three subaccounts (1) a subaccount to record and recover the capital revenue requirement (base cost) for PG&amp;E’s retained generation: (2) subaccount to recover the O&amp;M expenses for retained generation as well as the cost associated with QFs and PPAs and other contracts; (3) a subaccount to reflect the pass through of revenues and cots related to power purchases by DWR </w:t>
        <w:tab/>
      </w:r>
    </w:p>
    <w:p>
      <w:pPr>
        <w:pStyle w:val="Normal"/>
        <w:tabs>
          <w:tab w:val="clear" w:pos="720"/>
          <w:tab w:val="left" w:pos="0" w:leader="none"/>
        </w:tabs>
        <w:ind w:hanging="90" w:end="0"/>
        <w:jc w:val="both"/>
        <w:rPr>
          <w:b/>
        </w:rPr>
      </w:pPr>
      <w:r>
        <w:rPr>
          <w:b/>
        </w:rPr>
      </w:r>
    </w:p>
    <w:p>
      <w:pPr>
        <w:pStyle w:val="Normal"/>
        <w:tabs>
          <w:tab w:val="clear" w:pos="720"/>
          <w:tab w:val="left" w:pos="0" w:leader="none"/>
          <w:tab w:val="left" w:pos="1440" w:leader="none"/>
        </w:tabs>
        <w:ind w:hanging="2250" w:start="2160" w:end="0"/>
        <w:jc w:val="both"/>
        <w:rPr/>
      </w:pPr>
      <w:r>
        <w:rPr>
          <w:b/>
        </w:rPr>
        <w:tab/>
        <w:tab/>
      </w:r>
      <w:r>
        <w:rPr>
          <w:rFonts w:eastAsia="Symbol" w:cs="Symbol" w:ascii="Symbol" w:hAnsi="Symbol"/>
          <w:b/>
        </w:rPr>
        <w:sym w:font="Symbol" w:char="f0b7"/>
      </w:r>
      <w:r>
        <w:rPr>
          <w:b/>
        </w:rPr>
        <w:tab/>
      </w:r>
      <w:r>
        <w:rPr/>
        <w:t>The first subaccount would be subject to an annual true up; the second subaccount would be subject to a monthly true up; the third subaccount will record the revenues and costs attributable to the DWR; it will track any over or undercollection for later adjustment by the Commission based on DWR’s revenue needs.</w:t>
      </w:r>
    </w:p>
    <w:p>
      <w:pPr>
        <w:pStyle w:val="Normal"/>
        <w:tabs>
          <w:tab w:val="clear" w:pos="720"/>
          <w:tab w:val="left" w:pos="0" w:leader="none"/>
        </w:tabs>
        <w:ind w:hanging="90" w:end="0"/>
        <w:jc w:val="both"/>
        <w:rPr>
          <w:b/>
        </w:rPr>
      </w:pPr>
      <w:r>
        <w:rPr>
          <w:b/>
        </w:rPr>
        <w:tab/>
      </w:r>
    </w:p>
    <w:p>
      <w:pPr>
        <w:pStyle w:val="Normal"/>
        <w:ind w:hanging="720" w:start="1440" w:end="0"/>
        <w:jc w:val="both"/>
        <w:rPr/>
      </w:pPr>
      <w:r>
        <w:rPr>
          <w:rFonts w:eastAsia="Symbol" w:cs="Symbol" w:ascii="Symbol" w:hAnsi="Symbol"/>
          <w:b/>
        </w:rPr>
        <w:sym w:font="Symbol" w:char="f0b7"/>
      </w:r>
      <w:r>
        <w:rPr>
          <w:b/>
        </w:rPr>
        <w:tab/>
      </w:r>
      <w:r>
        <w:rPr/>
        <w:t xml:space="preserve">To the extent that the Commission adopts scenario 1 or 3 (or any other proposal which would result in an undercollection remaining in the TCBA, PG&amp;E maintains its proposal to establish the Unrecovered Cost of Service Account  </w:t>
      </w:r>
    </w:p>
    <w:p>
      <w:pPr>
        <w:pStyle w:val="Normal"/>
        <w:ind w:hanging="720" w:start="1440" w:end="0"/>
        <w:jc w:val="both"/>
        <w:rPr/>
      </w:pPr>
      <w:r>
        <w:rPr/>
      </w:r>
    </w:p>
    <w:p>
      <w:pPr>
        <w:pStyle w:val="Normal"/>
        <w:ind w:hanging="720" w:start="2160" w:end="0"/>
        <w:jc w:val="both"/>
        <w:rPr/>
      </w:pPr>
      <w:r>
        <w:rPr>
          <w:rFonts w:eastAsia="Symbol" w:cs="Symbol" w:ascii="Symbol" w:hAnsi="Symbol"/>
        </w:rPr>
        <w:sym w:font="Symbol" w:char="f0b7"/>
      </w:r>
      <w:r>
        <w:rPr/>
        <w:tab/>
        <w:t xml:space="preserve">This would be a nonbypassable charge and will be collected from bundled </w:t>
      </w:r>
    </w:p>
    <w:p>
      <w:pPr>
        <w:pStyle w:val="Normal"/>
        <w:ind w:start="2160" w:end="0"/>
        <w:jc w:val="both"/>
        <w:rPr/>
      </w:pPr>
      <w:r>
        <w:rPr/>
        <w:t>service, direct access and departing customers.</w:t>
      </w:r>
    </w:p>
    <w:p>
      <w:pPr>
        <w:pStyle w:val="Normal"/>
        <w:ind w:hanging="720" w:start="1440" w:end="0"/>
        <w:jc w:val="both"/>
        <w:rPr>
          <w:b/>
        </w:rPr>
      </w:pPr>
      <w:r>
        <w:rPr>
          <w:b/>
        </w:rPr>
      </w:r>
    </w:p>
    <w:p>
      <w:pPr>
        <w:pStyle w:val="Normal"/>
        <w:ind w:hanging="720" w:start="1440" w:end="0"/>
        <w:jc w:val="both"/>
        <w:rPr/>
      </w:pPr>
      <w:r>
        <w:rPr>
          <w:rFonts w:eastAsia="Symbol" w:cs="Symbol" w:ascii="Symbol" w:hAnsi="Symbol"/>
          <w:b/>
        </w:rPr>
        <w:sym w:font="Symbol" w:char="f0b7"/>
      </w:r>
      <w:r>
        <w:rPr>
          <w:b/>
        </w:rPr>
        <w:tab/>
      </w:r>
      <w:r>
        <w:rPr/>
        <w:t>Establishment of a Distribution Revenue Adjustment Mechanism.  The purpose of such would be to remove any disincentive to conservation efforts until a PBR is adopted for PG&amp;E.</w:t>
      </w:r>
    </w:p>
    <w:p>
      <w:pPr>
        <w:pStyle w:val="Normal"/>
        <w:ind w:hanging="720" w:start="1440" w:end="0"/>
        <w:jc w:val="both"/>
        <w:rPr/>
      </w:pPr>
      <w:r>
        <w:rPr/>
      </w:r>
    </w:p>
    <w:p>
      <w:pPr>
        <w:pStyle w:val="Normal"/>
        <w:ind w:hanging="720" w:start="1440" w:end="0"/>
        <w:jc w:val="both"/>
        <w:rPr/>
      </w:pPr>
      <w:r>
        <w:rPr>
          <w:rFonts w:eastAsia="Symbol" w:cs="Symbol" w:ascii="Symbol" w:hAnsi="Symbol"/>
        </w:rPr>
        <w:sym w:font="Symbol" w:char="f0b7"/>
      </w:r>
      <w:r>
        <w:rPr/>
        <w:tab/>
        <w:t>The TRA and the generation memorandum accounts would be eliminated</w:t>
      </w:r>
    </w:p>
    <w:p>
      <w:pPr>
        <w:pStyle w:val="Normal"/>
        <w:ind w:hanging="720" w:start="1440" w:end="0"/>
        <w:jc w:val="both"/>
        <w:rPr/>
      </w:pPr>
      <w:r>
        <w:rPr/>
      </w:r>
    </w:p>
    <w:p>
      <w:pPr>
        <w:pStyle w:val="Normal"/>
        <w:ind w:hanging="720" w:start="720" w:end="0"/>
        <w:jc w:val="both"/>
        <w:rPr/>
      </w:pPr>
      <w:r>
        <w:rPr>
          <w:rFonts w:eastAsia="Symbol" w:cs="Symbol" w:ascii="Symbol" w:hAnsi="Symbol"/>
          <w:b/>
        </w:rPr>
        <w:sym w:font="Symbol" w:char="f0b7"/>
      </w:r>
      <w:r>
        <w:rPr/>
        <w:tab/>
      </w:r>
      <w:r>
        <w:rPr>
          <w:b/>
        </w:rPr>
        <w:t>Ratemaking if Rate Freeze is not Over</w:t>
      </w:r>
    </w:p>
    <w:p>
      <w:pPr>
        <w:pStyle w:val="Normal"/>
        <w:ind w:hanging="720" w:start="720" w:end="0"/>
        <w:jc w:val="both"/>
        <w:rPr>
          <w:b/>
        </w:rPr>
      </w:pPr>
      <w:r>
        <w:rPr>
          <w:b/>
        </w:rPr>
      </w:r>
    </w:p>
    <w:p>
      <w:pPr>
        <w:pStyle w:val="Normal"/>
        <w:ind w:hanging="720" w:start="1440" w:end="0"/>
        <w:jc w:val="both"/>
        <w:rPr/>
      </w:pPr>
      <w:r>
        <w:rPr>
          <w:rFonts w:eastAsia="Symbol" w:cs="Symbol" w:ascii="Symbol" w:hAnsi="Symbol"/>
        </w:rPr>
        <w:sym w:font="Symbol" w:char="f0b7"/>
      </w:r>
      <w:r>
        <w:rPr/>
        <w:tab/>
        <w:t>Maintain the TRA; the TRA is zeroed out each month; any over-collected or under-collected balances in the generation memorandum accounts would be transferred to the TRA each month prior to the TRA balance being transferred to the TCBA</w:t>
      </w:r>
    </w:p>
    <w:p>
      <w:pPr>
        <w:pStyle w:val="Normal"/>
        <w:ind w:hanging="720" w:start="1440" w:end="0"/>
        <w:jc w:val="both"/>
        <w:rPr/>
      </w:pPr>
      <w:r>
        <w:rPr/>
      </w:r>
    </w:p>
    <w:p>
      <w:pPr>
        <w:pStyle w:val="Normal"/>
        <w:ind w:hanging="720" w:start="1440" w:end="0"/>
        <w:jc w:val="both"/>
        <w:rPr/>
      </w:pPr>
      <w:r>
        <w:rPr>
          <w:rFonts w:eastAsia="Symbol" w:cs="Symbol" w:ascii="Symbol" w:hAnsi="Symbol"/>
        </w:rPr>
        <w:sym w:font="Symbol" w:char="f0b7"/>
      </w:r>
      <w:r>
        <w:rPr/>
        <w:tab/>
        <w:t>The Procurement Surcharge Balancing Account would record revenues associated with both the three cents surcharge and the one cent surcharge.  It would record cost related to the ISO, bilateral contracts, block forward market, QFs, PPAs, irrigation districts and DWR.</w:t>
      </w:r>
    </w:p>
    <w:p>
      <w:pPr>
        <w:pStyle w:val="Normal"/>
        <w:ind w:hanging="720" w:start="1440" w:end="0"/>
        <w:jc w:val="both"/>
        <w:rPr/>
      </w:pPr>
      <w:r>
        <w:rPr/>
      </w:r>
    </w:p>
    <w:p>
      <w:pPr>
        <w:pStyle w:val="Normal"/>
        <w:ind w:hanging="720" w:start="1440" w:end="0"/>
        <w:jc w:val="both"/>
        <w:rPr>
          <w:b/>
        </w:rPr>
      </w:pPr>
      <w:r>
        <w:rPr>
          <w:b/>
        </w:rPr>
        <w:t>SOUTHERN CALIFORNIA EDISON COMPANY</w:t>
      </w:r>
    </w:p>
    <w:p>
      <w:pPr>
        <w:pStyle w:val="Normal"/>
        <w:ind w:hanging="720" w:start="1440" w:end="0"/>
        <w:jc w:val="both"/>
        <w:rPr>
          <w:b/>
        </w:rPr>
      </w:pPr>
      <w:r>
        <w:rPr>
          <w:b/>
        </w:rPr>
      </w:r>
    </w:p>
    <w:p>
      <w:pPr>
        <w:pStyle w:val="Normal"/>
        <w:ind w:hanging="720" w:start="1440" w:end="0"/>
        <w:jc w:val="both"/>
        <w:rPr/>
      </w:pPr>
      <w:r>
        <w:rPr>
          <w:rFonts w:eastAsia="Symbol" w:cs="Symbol" w:ascii="Symbol" w:hAnsi="Symbol"/>
        </w:rPr>
        <w:sym w:font="Symbol" w:char="f0b7"/>
      </w:r>
      <w:r>
        <w:rPr/>
        <w:tab/>
        <w:t>SCE’s proposal for treatment of its retained generation is a slightly modified version of its Advice Filing 1534-E (the one implementing the MOU)</w:t>
      </w:r>
    </w:p>
    <w:p>
      <w:pPr>
        <w:pStyle w:val="Normal"/>
        <w:ind w:hanging="720" w:start="1440" w:end="0"/>
        <w:jc w:val="both"/>
        <w:rPr/>
      </w:pPr>
      <w:r>
        <w:rPr/>
      </w:r>
    </w:p>
    <w:p>
      <w:pPr>
        <w:pStyle w:val="Normal"/>
        <w:ind w:hanging="720" w:start="1440" w:end="0"/>
        <w:jc w:val="both"/>
        <w:rPr/>
      </w:pPr>
      <w:r>
        <w:rPr>
          <w:rFonts w:eastAsia="Symbol" w:cs="Symbol" w:ascii="Symbol" w:hAnsi="Symbol"/>
        </w:rPr>
        <w:sym w:font="Symbol" w:char="f0b7"/>
      </w:r>
      <w:r>
        <w:rPr/>
        <w:tab/>
        <w:t>SCE sets forth its estimated revenue requirements for the components of URG, DWR payments and the ISO related charges for calendar year 2002.  These are intended only to be representative as SCE’s actual generation related revenue requirements will be recorded four new balancing accounts. As the actual costs will differ from the forecasts, there will be an annual true up.</w:t>
      </w:r>
    </w:p>
    <w:p>
      <w:pPr>
        <w:pStyle w:val="Normal"/>
        <w:ind w:hanging="720" w:start="1440" w:end="0"/>
        <w:jc w:val="both"/>
        <w:rPr/>
      </w:pPr>
      <w:r>
        <w:rPr/>
      </w:r>
    </w:p>
    <w:p>
      <w:pPr>
        <w:pStyle w:val="Normal"/>
        <w:ind w:hanging="720" w:start="1440" w:end="0"/>
        <w:jc w:val="both"/>
        <w:rPr/>
      </w:pPr>
      <w:r>
        <w:rPr>
          <w:rFonts w:eastAsia="Symbol" w:cs="Symbol" w:ascii="Symbol" w:hAnsi="Symbol"/>
          <w:b/>
        </w:rPr>
        <w:sym w:font="Symbol" w:char="f0b7"/>
      </w:r>
      <w:r>
        <w:rPr/>
        <w:tab/>
      </w:r>
      <w:r>
        <w:rPr>
          <w:b/>
        </w:rPr>
        <w:t>Implementation of Four New Balancing Accounts</w:t>
      </w:r>
    </w:p>
    <w:p>
      <w:pPr>
        <w:pStyle w:val="Normal"/>
        <w:ind w:hanging="720" w:start="1440" w:end="0"/>
        <w:jc w:val="both"/>
        <w:rPr>
          <w:b/>
        </w:rPr>
      </w:pPr>
      <w:r>
        <w:rPr>
          <w:b/>
        </w:rPr>
      </w:r>
    </w:p>
    <w:p>
      <w:pPr>
        <w:pStyle w:val="Normal"/>
        <w:ind w:hanging="720" w:start="2160" w:end="0"/>
        <w:jc w:val="both"/>
        <w:rPr/>
      </w:pPr>
      <w:r>
        <w:rPr>
          <w:rFonts w:eastAsia="Symbol" w:cs="Symbol" w:ascii="Symbol" w:hAnsi="Symbol"/>
        </w:rPr>
        <w:sym w:font="Symbol" w:char="f0b7"/>
      </w:r>
      <w:r>
        <w:rPr/>
        <w:tab/>
        <w:t>The monthly revenue requirement associated with SCE’s own generation will be recorded in the SCE Owned Generation Balancing Account (“SCEOGBA”).</w:t>
      </w:r>
    </w:p>
    <w:p>
      <w:pPr>
        <w:pStyle w:val="Normal"/>
        <w:ind w:hanging="720" w:start="2160" w:end="0"/>
        <w:jc w:val="both"/>
        <w:rPr/>
      </w:pPr>
      <w:r>
        <w:rPr/>
        <w:tab/>
      </w:r>
    </w:p>
    <w:p>
      <w:pPr>
        <w:pStyle w:val="Normal"/>
        <w:ind w:hanging="720" w:start="2880" w:end="0"/>
        <w:jc w:val="both"/>
        <w:rPr/>
      </w:pPr>
      <w:r>
        <w:rPr>
          <w:rFonts w:eastAsia="Symbol" w:cs="Symbol" w:ascii="Symbol" w:hAnsi="Symbol"/>
        </w:rPr>
        <w:sym w:font="Symbol" w:char="f0b7"/>
      </w:r>
      <w:r>
        <w:rPr/>
        <w:tab/>
        <w:t>This account will include (1) the actual ongoing operating costs for Palo Verde, Mohave, Four Corners and Catalina; (2) authorized on going operating costs for Hydro; (3) SONGS ICIP revenue requirement; and (4) actual capital costs, including a full return of SCE’s generation ratebase</w:t>
      </w:r>
    </w:p>
    <w:p>
      <w:pPr>
        <w:pStyle w:val="Normal"/>
        <w:ind w:hanging="720" w:start="2880" w:end="0"/>
        <w:jc w:val="both"/>
        <w:rPr/>
      </w:pPr>
      <w:r>
        <w:rPr/>
      </w:r>
    </w:p>
    <w:p>
      <w:pPr>
        <w:pStyle w:val="Normal"/>
        <w:ind w:hanging="720" w:start="2880" w:end="0"/>
        <w:jc w:val="both"/>
        <w:rPr/>
      </w:pPr>
      <w:r>
        <w:rPr>
          <w:rFonts w:eastAsia="Symbol" w:cs="Symbol" w:ascii="Symbol" w:hAnsi="Symbol"/>
        </w:rPr>
        <w:sym w:font="Symbol" w:char="f0b7"/>
      </w:r>
      <w:r>
        <w:rPr/>
        <w:tab/>
        <w:t>SCE will set it investment in its retained generation assets at net book value as of December 31, 2000</w:t>
      </w:r>
    </w:p>
    <w:p>
      <w:pPr>
        <w:pStyle w:val="Normal"/>
        <w:ind w:hanging="720" w:start="2880" w:end="0"/>
        <w:jc w:val="both"/>
        <w:rPr/>
      </w:pPr>
      <w:r>
        <w:rPr/>
      </w:r>
    </w:p>
    <w:p>
      <w:pPr>
        <w:pStyle w:val="Normal"/>
        <w:ind w:hanging="720" w:start="2880" w:end="0"/>
        <w:jc w:val="both"/>
        <w:rPr/>
      </w:pPr>
      <w:r>
        <w:rPr>
          <w:rFonts w:eastAsia="Symbol" w:cs="Symbol" w:ascii="Symbol" w:hAnsi="Symbol"/>
        </w:rPr>
        <w:sym w:font="Symbol" w:char="f0b7"/>
      </w:r>
      <w:r>
        <w:rPr/>
        <w:tab/>
        <w:t>Estimated 2002 revenue requirement for this account is $1.32 billion</w:t>
      </w:r>
    </w:p>
    <w:p>
      <w:pPr>
        <w:pStyle w:val="Normal"/>
        <w:ind w:hanging="720" w:start="2880" w:end="0"/>
        <w:jc w:val="both"/>
        <w:rPr/>
      </w:pPr>
      <w:r>
        <w:rPr/>
      </w:r>
    </w:p>
    <w:p>
      <w:pPr>
        <w:pStyle w:val="Normal"/>
        <w:ind w:hanging="720" w:start="2160" w:end="0"/>
        <w:jc w:val="both"/>
        <w:rPr/>
      </w:pPr>
      <w:r>
        <w:rPr>
          <w:rFonts w:eastAsia="Symbol" w:cs="Symbol" w:ascii="Symbol" w:hAnsi="Symbol"/>
        </w:rPr>
        <w:sym w:font="Symbol" w:char="f0b7"/>
      </w:r>
      <w:r>
        <w:rPr/>
        <w:tab/>
        <w:t>The monthly revenue requirement associated with QF contracts and existing bilateral contracts will be recorded in the SCE Contracts Balancing Account (“SCECBA”)</w:t>
      </w:r>
    </w:p>
    <w:p>
      <w:pPr>
        <w:pStyle w:val="Normal"/>
        <w:ind w:hanging="720" w:start="2160" w:end="0"/>
        <w:jc w:val="both"/>
        <w:rPr/>
      </w:pPr>
      <w:r>
        <w:rPr/>
      </w:r>
    </w:p>
    <w:p>
      <w:pPr>
        <w:pStyle w:val="Normal"/>
        <w:ind w:hanging="720" w:start="2880" w:end="0"/>
        <w:jc w:val="both"/>
        <w:rPr/>
      </w:pPr>
      <w:r>
        <w:rPr>
          <w:rFonts w:eastAsia="Symbol" w:cs="Symbol" w:ascii="Symbol" w:hAnsi="Symbol"/>
        </w:rPr>
        <w:sym w:font="Symbol" w:char="f0b7"/>
      </w:r>
      <w:r>
        <w:rPr/>
        <w:tab/>
        <w:t>Estimated 2002 revenue requirement for this account is $2.62 billion</w:t>
      </w:r>
    </w:p>
    <w:p>
      <w:pPr>
        <w:pStyle w:val="Normal"/>
        <w:ind w:hanging="720" w:start="2880" w:end="0"/>
        <w:jc w:val="both"/>
        <w:rPr/>
      </w:pPr>
      <w:r>
        <w:rPr/>
      </w:r>
    </w:p>
    <w:p>
      <w:pPr>
        <w:pStyle w:val="Normal"/>
        <w:ind w:hanging="720" w:start="2160" w:end="0"/>
        <w:jc w:val="both"/>
        <w:rPr/>
      </w:pPr>
      <w:r>
        <w:rPr>
          <w:rFonts w:eastAsia="Symbol" w:cs="Symbol" w:ascii="Symbol" w:hAnsi="Symbol"/>
        </w:rPr>
        <w:sym w:font="Symbol" w:char="f0b7"/>
      </w:r>
      <w:r>
        <w:rPr/>
        <w:tab/>
        <w:t xml:space="preserve">All payments made by SCE to DWR for the cost DWR is incurring to procure energy on behalf of SCE customers will be recorded in the Procurement Costs Balancing Account (“PCBA”).  </w:t>
      </w:r>
    </w:p>
    <w:p>
      <w:pPr>
        <w:pStyle w:val="Normal"/>
        <w:ind w:hanging="720" w:start="2160" w:end="0"/>
        <w:jc w:val="both"/>
        <w:rPr/>
      </w:pPr>
      <w:r>
        <w:rPr/>
      </w:r>
    </w:p>
    <w:p>
      <w:pPr>
        <w:pStyle w:val="Normal"/>
        <w:ind w:hanging="720" w:start="2880" w:end="0"/>
        <w:jc w:val="both"/>
        <w:rPr/>
      </w:pPr>
      <w:r>
        <w:rPr>
          <w:rFonts w:eastAsia="Symbol" w:cs="Symbol" w:ascii="Symbol" w:hAnsi="Symbol"/>
        </w:rPr>
        <w:sym w:font="Symbol" w:char="f0b7"/>
      </w:r>
      <w:r>
        <w:rPr/>
        <w:tab/>
        <w:t>Estimated 2002 revenue requirement for this account is $2.85 billion</w:t>
      </w:r>
    </w:p>
    <w:p>
      <w:pPr>
        <w:pStyle w:val="Normal"/>
        <w:ind w:hanging="720" w:start="2160" w:end="0"/>
        <w:jc w:val="both"/>
        <w:rPr/>
      </w:pPr>
      <w:r>
        <w:rPr/>
        <w:tab/>
      </w:r>
    </w:p>
    <w:p>
      <w:pPr>
        <w:pStyle w:val="Normal"/>
        <w:ind w:hanging="720" w:start="2160" w:end="0"/>
        <w:jc w:val="both"/>
        <w:rPr/>
      </w:pPr>
      <w:r>
        <w:rPr>
          <w:rFonts w:eastAsia="Symbol" w:cs="Symbol" w:ascii="Symbol" w:hAnsi="Symbol"/>
        </w:rPr>
        <w:sym w:font="Symbol" w:char="f0b7"/>
      </w:r>
      <w:r>
        <w:rPr/>
        <w:tab/>
        <w:t>All payments made by SCE to the ISO for cost associated with ancillary services and uplift charges will be recorded in the ISO Balancing Account (“ISOBA”)</w:t>
      </w:r>
    </w:p>
    <w:p>
      <w:pPr>
        <w:pStyle w:val="Normal"/>
        <w:ind w:hanging="720" w:start="2160" w:end="0"/>
        <w:jc w:val="both"/>
        <w:rPr/>
      </w:pPr>
      <w:r>
        <w:rPr/>
      </w:r>
    </w:p>
    <w:p>
      <w:pPr>
        <w:pStyle w:val="Normal"/>
        <w:ind w:hanging="720" w:start="2880" w:end="0"/>
        <w:jc w:val="both"/>
        <w:rPr/>
      </w:pPr>
      <w:r>
        <w:rPr>
          <w:rFonts w:eastAsia="Symbol" w:cs="Symbol" w:ascii="Symbol" w:hAnsi="Symbol"/>
        </w:rPr>
        <w:sym w:font="Symbol" w:char="f0b7"/>
      </w:r>
      <w:r>
        <w:rPr/>
        <w:tab/>
        <w:t xml:space="preserve">Currently SCE is making payments only for uplift charges, not ancillary services, as it does not meet the ISO’s creditworthiness requirements </w:t>
      </w:r>
    </w:p>
    <w:p>
      <w:pPr>
        <w:pStyle w:val="Normal"/>
        <w:ind w:hanging="720" w:start="2160" w:end="0"/>
        <w:jc w:val="both"/>
        <w:rPr/>
      </w:pPr>
      <w:r>
        <w:rPr/>
      </w:r>
    </w:p>
    <w:p>
      <w:pPr>
        <w:pStyle w:val="Normal"/>
        <w:ind w:hanging="720" w:start="2880" w:end="0"/>
        <w:jc w:val="both"/>
        <w:rPr/>
      </w:pPr>
      <w:r>
        <w:rPr>
          <w:rFonts w:eastAsia="Symbol" w:cs="Symbol" w:ascii="Symbol" w:hAnsi="Symbol"/>
        </w:rPr>
        <w:sym w:font="Symbol" w:char="f0b7"/>
      </w:r>
      <w:r>
        <w:rPr/>
        <w:tab/>
        <w:t>Estimated 2002 revenue requirement for this account is $52.9 million as long as SCE remains uncreditworthy (it increases to $802.6 million if SCE becomes creditworthy and must start paying the ancillary services charges).</w:t>
      </w:r>
    </w:p>
    <w:p>
      <w:pPr>
        <w:pStyle w:val="Normal"/>
        <w:ind w:hanging="720" w:start="2880" w:end="0"/>
        <w:jc w:val="both"/>
        <w:rPr/>
      </w:pPr>
      <w:r>
        <w:rPr/>
      </w:r>
    </w:p>
    <w:p>
      <w:pPr>
        <w:pStyle w:val="Normal"/>
        <w:ind w:start="720" w:end="0"/>
        <w:jc w:val="both"/>
        <w:rPr/>
      </w:pPr>
      <w:r>
        <w:rPr>
          <w:rFonts w:eastAsia="Symbol" w:cs="Symbol" w:ascii="Symbol" w:hAnsi="Symbol"/>
        </w:rPr>
        <w:sym w:font="Symbol" w:char="f0b7"/>
      </w:r>
      <w:r>
        <w:rPr/>
        <w:tab/>
      </w:r>
      <w:r>
        <w:rPr>
          <w:b/>
        </w:rPr>
        <w:t>Generation Related Dedicated Rate Components</w:t>
      </w:r>
    </w:p>
    <w:p>
      <w:pPr>
        <w:pStyle w:val="Normal"/>
        <w:ind w:start="720" w:end="0"/>
        <w:jc w:val="both"/>
        <w:rPr>
          <w:b/>
        </w:rPr>
      </w:pPr>
      <w:r>
        <w:rPr>
          <w:b/>
        </w:rPr>
      </w:r>
    </w:p>
    <w:p>
      <w:pPr>
        <w:pStyle w:val="Normal"/>
        <w:ind w:hanging="720" w:start="2160" w:end="0"/>
        <w:jc w:val="both"/>
        <w:rPr/>
      </w:pPr>
      <w:r>
        <w:rPr>
          <w:rFonts w:eastAsia="Symbol" w:cs="Symbol" w:ascii="Symbol" w:hAnsi="Symbol"/>
          <w:b/>
        </w:rPr>
        <w:sym w:font="Symbol" w:char="f0b7"/>
      </w:r>
      <w:r>
        <w:rPr>
          <w:b/>
        </w:rPr>
        <w:tab/>
      </w:r>
      <w:r>
        <w:rPr/>
        <w:t xml:space="preserve">Each balancing account will track, on a monthly basis, the authorized or recorded revenue requirement (as discussed above) compared to the recorded generation rate and surcharge revenues  </w:t>
      </w:r>
      <w:r>
        <w:rPr>
          <w:b/>
        </w:rPr>
        <w:t xml:space="preserve"> </w:t>
      </w:r>
    </w:p>
    <w:p>
      <w:pPr>
        <w:pStyle w:val="Normal"/>
        <w:ind w:hanging="720" w:start="2160" w:end="0"/>
        <w:jc w:val="both"/>
        <w:rPr/>
      </w:pPr>
      <w:r>
        <w:rPr/>
        <w:t xml:space="preserve">     </w:t>
      </w:r>
      <w:r>
        <w:rPr/>
        <w:tab/>
      </w:r>
    </w:p>
    <w:p>
      <w:pPr>
        <w:pStyle w:val="Normal"/>
        <w:ind w:hanging="720" w:start="2160" w:end="0"/>
        <w:jc w:val="both"/>
        <w:rPr/>
      </w:pPr>
      <w:r>
        <w:rPr>
          <w:rFonts w:eastAsia="Symbol" w:cs="Symbol" w:ascii="Symbol" w:hAnsi="Symbol"/>
        </w:rPr>
        <w:sym w:font="Symbol" w:char="f0b7"/>
      </w:r>
      <w:r>
        <w:rPr/>
        <w:tab/>
        <w:t>The average rates which will be necessary to recover to fully recover all of SCE’s own generation costs, purchase power contract costs, payments due to DWR and applicable ISO related charges is 8.75 cents per kWh until SCE’s becomes creditworthy and then it will be 9.71 cents</w:t>
      </w:r>
    </w:p>
    <w:p>
      <w:pPr>
        <w:pStyle w:val="Normal"/>
        <w:ind w:hanging="720" w:start="2160" w:end="0"/>
        <w:jc w:val="both"/>
        <w:rPr/>
      </w:pPr>
      <w:r>
        <w:rPr/>
      </w:r>
    </w:p>
    <w:p>
      <w:pPr>
        <w:pStyle w:val="Normal"/>
        <w:ind w:hanging="720" w:start="2880" w:end="0"/>
        <w:jc w:val="both"/>
        <w:rPr/>
      </w:pPr>
      <w:r>
        <w:rPr>
          <w:rFonts w:eastAsia="Symbol" w:cs="Symbol" w:ascii="Symbol" w:hAnsi="Symbol"/>
        </w:rPr>
        <w:sym w:font="Symbol" w:char="f0b7"/>
      </w:r>
      <w:r>
        <w:rPr/>
        <w:tab/>
        <w:t xml:space="preserve">This breaks down to the following “generation related dedicated rate components: (1) SCE Owned Generation = 1.68 cents/kWh; SCE contracts = 3.35 cents/kWh; DWR Payments = 3.64 cents/kWh; ISO related charges = .07 cents/kWh (1.03 cents/kWh when SCE become creditworthy)  </w:t>
      </w:r>
    </w:p>
    <w:p>
      <w:pPr>
        <w:pStyle w:val="Normal"/>
        <w:ind w:start="720" w:end="0"/>
        <w:jc w:val="both"/>
        <w:rPr/>
      </w:pPr>
      <w:r>
        <w:rPr/>
        <w:tab/>
      </w:r>
      <w:r>
        <w:rPr>
          <w:b/>
        </w:rPr>
        <w:tab/>
        <w:tab/>
        <w:tab/>
      </w:r>
    </w:p>
    <w:p>
      <w:pPr>
        <w:pStyle w:val="Normal"/>
        <w:tabs>
          <w:tab w:val="clear" w:pos="720"/>
          <w:tab w:val="left" w:pos="0" w:leader="none"/>
        </w:tabs>
        <w:ind w:hanging="1530" w:start="1440" w:end="0"/>
        <w:jc w:val="both"/>
        <w:rPr/>
      </w:pPr>
      <w:r>
        <w:rPr>
          <w:b/>
        </w:rPr>
        <w:tab/>
        <w:tab/>
      </w:r>
      <w:r>
        <w:rPr>
          <w:rFonts w:eastAsia="Symbol" w:cs="Symbol" w:ascii="Symbol" w:hAnsi="Symbol"/>
          <w:b/>
        </w:rPr>
        <w:sym w:font="Symbol" w:char="f0b7"/>
      </w:r>
      <w:r>
        <w:rPr>
          <w:b/>
        </w:rPr>
        <w:tab/>
        <w:t xml:space="preserve">Generation Dedicated Rate Components During the Rate Freeze </w:t>
      </w:r>
    </w:p>
    <w:p>
      <w:pPr>
        <w:pStyle w:val="Normal"/>
        <w:tabs>
          <w:tab w:val="clear" w:pos="720"/>
          <w:tab w:val="left" w:pos="0" w:leader="none"/>
        </w:tabs>
        <w:ind w:hanging="90" w:end="0"/>
        <w:jc w:val="both"/>
        <w:rPr>
          <w:b/>
        </w:rPr>
      </w:pPr>
      <w:r>
        <w:rPr>
          <w:b/>
        </w:rPr>
        <w:tab/>
        <w:tab/>
        <w:tab/>
        <w:tab/>
      </w:r>
    </w:p>
    <w:p>
      <w:pPr>
        <w:pStyle w:val="Normal"/>
        <w:tabs>
          <w:tab w:val="clear" w:pos="720"/>
          <w:tab w:val="left" w:pos="0" w:leader="none"/>
        </w:tabs>
        <w:ind w:hanging="720" w:start="2880" w:end="0"/>
        <w:jc w:val="both"/>
        <w:rPr/>
      </w:pPr>
      <w:r>
        <w:rPr>
          <w:rFonts w:eastAsia="Symbol" w:cs="Symbol" w:ascii="Symbol" w:hAnsi="Symbol"/>
        </w:rPr>
        <w:sym w:font="Symbol" w:char="f0b7"/>
      </w:r>
      <w:r>
        <w:rPr/>
        <w:tab/>
        <w:t>During the rate freeze, on a monthly basis, the dedicated rate components will be multiplied by recorded metered kWh sales to determine the amount of revenues to be recorded in each of the four balancing accounts.  At the same time, SCE will determine its actual available generation revenues through operation of the TRA.  In any given month the revenue requirement recorded in the four balancing accounts will differ from the actual amount of available generation revenue determined through operation of the TRA.  The differential will be allocated on an equal percentage basis to each of the four balancing accounts</w:t>
      </w:r>
    </w:p>
    <w:p>
      <w:pPr>
        <w:pStyle w:val="Normal"/>
        <w:tabs>
          <w:tab w:val="clear" w:pos="720"/>
          <w:tab w:val="left" w:pos="0" w:leader="none"/>
        </w:tabs>
        <w:ind w:hanging="720" w:start="2880" w:end="0"/>
        <w:jc w:val="both"/>
        <w:rPr/>
      </w:pPr>
      <w:r>
        <w:rPr/>
      </w:r>
    </w:p>
    <w:p>
      <w:pPr>
        <w:pStyle w:val="Normal"/>
        <w:tabs>
          <w:tab w:val="clear" w:pos="720"/>
          <w:tab w:val="left" w:pos="0" w:leader="none"/>
        </w:tabs>
        <w:ind w:start="1440" w:end="0"/>
        <w:jc w:val="both"/>
        <w:rPr/>
      </w:pPr>
      <w:r>
        <w:rPr>
          <w:rFonts w:eastAsia="Symbol" w:cs="Symbol" w:ascii="Symbol" w:hAnsi="Symbol"/>
        </w:rPr>
        <w:sym w:font="Symbol" w:char="f0b7"/>
      </w:r>
      <w:r>
        <w:rPr/>
        <w:tab/>
      </w:r>
      <w:r>
        <w:rPr>
          <w:b/>
        </w:rPr>
        <w:t>Generation Dedicated Rata Components After the Rate Freeze</w:t>
      </w:r>
    </w:p>
    <w:p>
      <w:pPr>
        <w:pStyle w:val="Normal"/>
        <w:tabs>
          <w:tab w:val="clear" w:pos="720"/>
          <w:tab w:val="left" w:pos="0" w:leader="none"/>
        </w:tabs>
        <w:ind w:start="1440" w:end="0"/>
        <w:jc w:val="both"/>
        <w:rPr>
          <w:b/>
        </w:rPr>
      </w:pPr>
      <w:r>
        <w:rPr>
          <w:b/>
        </w:rPr>
      </w:r>
    </w:p>
    <w:p>
      <w:pPr>
        <w:pStyle w:val="Normal"/>
        <w:tabs>
          <w:tab w:val="clear" w:pos="720"/>
          <w:tab w:val="left" w:pos="0" w:leader="none"/>
        </w:tabs>
        <w:ind w:hanging="720" w:start="2880" w:end="0"/>
        <w:jc w:val="both"/>
        <w:rPr/>
      </w:pPr>
      <w:r>
        <w:rPr>
          <w:rFonts w:eastAsia="Symbol" w:cs="Symbol" w:ascii="Symbol" w:hAnsi="Symbol"/>
        </w:rPr>
        <w:sym w:font="Symbol" w:char="f0b7"/>
      </w:r>
      <w:r>
        <w:rPr>
          <w:b/>
        </w:rPr>
        <w:tab/>
      </w:r>
      <w:r>
        <w:rPr/>
        <w:t xml:space="preserve">After the rate freeze ends, the four generation related dedicate rate components can be established as new billing factors and the TRA will be eliminated </w:t>
      </w:r>
    </w:p>
    <w:p>
      <w:pPr>
        <w:pStyle w:val="Normal"/>
        <w:tabs>
          <w:tab w:val="clear" w:pos="720"/>
          <w:tab w:val="left" w:pos="0" w:leader="none"/>
        </w:tabs>
        <w:ind w:hanging="720" w:start="2880" w:end="0"/>
        <w:jc w:val="both"/>
        <w:rPr/>
      </w:pPr>
      <w:r>
        <w:rPr/>
      </w:r>
    </w:p>
    <w:p>
      <w:pPr>
        <w:pStyle w:val="Normal"/>
        <w:tabs>
          <w:tab w:val="clear" w:pos="720"/>
          <w:tab w:val="left" w:pos="0" w:leader="none"/>
        </w:tabs>
        <w:ind w:start="1440" w:end="0"/>
        <w:jc w:val="both"/>
        <w:rPr/>
      </w:pPr>
      <w:r>
        <w:rPr>
          <w:rFonts w:eastAsia="Symbol" w:cs="Symbol" w:ascii="Symbol" w:hAnsi="Symbol"/>
          <w:b/>
        </w:rPr>
        <w:sym w:font="Symbol" w:char="f0b7"/>
      </w:r>
      <w:r>
        <w:rPr>
          <w:b/>
        </w:rPr>
        <w:tab/>
        <w:t>Disposition of Balancing Account Balances</w:t>
      </w:r>
    </w:p>
    <w:p>
      <w:pPr>
        <w:pStyle w:val="Normal"/>
        <w:tabs>
          <w:tab w:val="clear" w:pos="720"/>
          <w:tab w:val="left" w:pos="0" w:leader="none"/>
        </w:tabs>
        <w:ind w:start="1440" w:end="0"/>
        <w:jc w:val="both"/>
        <w:rPr>
          <w:b/>
        </w:rPr>
      </w:pPr>
      <w:r>
        <w:rPr>
          <w:b/>
        </w:rPr>
      </w:r>
    </w:p>
    <w:p>
      <w:pPr>
        <w:pStyle w:val="Normal"/>
        <w:tabs>
          <w:tab w:val="clear" w:pos="720"/>
          <w:tab w:val="left" w:pos="0" w:leader="none"/>
        </w:tabs>
        <w:ind w:hanging="720" w:start="2880" w:end="0"/>
        <w:jc w:val="both"/>
        <w:rPr/>
      </w:pPr>
      <w:r>
        <w:rPr>
          <w:rFonts w:eastAsia="Symbol" w:cs="Symbol" w:ascii="Symbol" w:hAnsi="Symbol"/>
        </w:rPr>
        <w:sym w:font="Symbol" w:char="f0b7"/>
      </w:r>
      <w:r>
        <w:rPr/>
        <w:tab/>
        <w:t>On November 15</w:t>
      </w:r>
      <w:r>
        <w:rPr>
          <w:vertAlign w:val="superscript"/>
        </w:rPr>
        <w:t>th</w:t>
      </w:r>
      <w:r>
        <w:rPr/>
        <w:t xml:space="preserve"> of each year, SCE will file and advice letter that will set forth the estimate revenue requirements and associated generation related dedicated rate components forth 12-month period beginning January 1 of the subsequent year.</w:t>
      </w:r>
    </w:p>
    <w:p>
      <w:pPr>
        <w:pStyle w:val="Normal"/>
        <w:tabs>
          <w:tab w:val="clear" w:pos="720"/>
          <w:tab w:val="left" w:pos="0" w:leader="none"/>
        </w:tabs>
        <w:ind w:hanging="720" w:start="2880" w:end="0"/>
        <w:jc w:val="both"/>
        <w:rPr/>
      </w:pPr>
      <w:r>
        <w:rPr/>
      </w:r>
    </w:p>
    <w:p>
      <w:pPr>
        <w:pStyle w:val="Normal"/>
        <w:tabs>
          <w:tab w:val="clear" w:pos="720"/>
          <w:tab w:val="left" w:pos="0" w:leader="none"/>
        </w:tabs>
        <w:ind w:hanging="720" w:start="2880" w:end="0"/>
        <w:jc w:val="both"/>
        <w:rPr/>
      </w:pPr>
      <w:r>
        <w:rPr>
          <w:rFonts w:eastAsia="Symbol" w:cs="Symbol" w:ascii="Symbol" w:hAnsi="Symbol"/>
        </w:rPr>
        <w:sym w:font="Symbol" w:char="f0b7"/>
      </w:r>
      <w:r>
        <w:rPr/>
        <w:tab/>
        <w:t>Because the annual rate true up mechanism may be insufficient in disposing of material over or under-collected balances that may occur throughout the year, SCE proposes a trigger mechanism to dispose of such more frequently.</w:t>
      </w:r>
    </w:p>
    <w:p>
      <w:pPr>
        <w:pStyle w:val="Normal"/>
        <w:tabs>
          <w:tab w:val="clear" w:pos="720"/>
          <w:tab w:val="left" w:pos="0" w:leader="none"/>
        </w:tabs>
        <w:ind w:hanging="720" w:start="2880" w:end="0"/>
        <w:jc w:val="both"/>
        <w:rPr/>
      </w:pPr>
      <w:r>
        <w:rPr/>
      </w:r>
    </w:p>
    <w:p>
      <w:pPr>
        <w:pStyle w:val="Normal"/>
        <w:tabs>
          <w:tab w:val="clear" w:pos="720"/>
          <w:tab w:val="left" w:pos="0" w:leader="none"/>
        </w:tabs>
        <w:ind w:hanging="720" w:start="3600" w:end="0"/>
        <w:jc w:val="both"/>
        <w:rPr/>
      </w:pPr>
      <w:r>
        <w:rPr>
          <w:rFonts w:eastAsia="Symbol" w:cs="Symbol" w:ascii="Symbol" w:hAnsi="Symbol"/>
        </w:rPr>
        <w:sym w:font="Symbol" w:char="f0b7"/>
      </w:r>
      <w:r>
        <w:rPr/>
        <w:tab/>
        <w:t xml:space="preserve">If at the end of any month, the sum of SCEOGBA, SCECBA, PACBA and ISOBA balances is equal to or greater than $500 million either under or over collected, SCE will notify the Commission through advice filing of the rate adjustment that is necessary to recover or refund the net balance to its customers. On the effective date, SCE will change rates or surcharges to amortize the over or under-collected amount over 12 months    </w:t>
      </w:r>
    </w:p>
    <w:p>
      <w:pPr>
        <w:pStyle w:val="Normal"/>
        <w:tabs>
          <w:tab w:val="clear" w:pos="720"/>
          <w:tab w:val="left" w:pos="0" w:leader="none"/>
        </w:tabs>
        <w:ind w:hanging="1440" w:start="2880" w:end="0"/>
        <w:jc w:val="both"/>
        <w:rPr/>
      </w:pPr>
      <w:r>
        <w:rPr/>
        <w:t xml:space="preserve">  </w:t>
      </w:r>
    </w:p>
    <w:p>
      <w:pPr>
        <w:pStyle w:val="Normal"/>
        <w:jc w:val="both"/>
        <w:rPr>
          <w:b/>
        </w:rPr>
      </w:pPr>
      <w:r>
        <w:rPr>
          <w:b/>
        </w:rPr>
        <w:t>SAN DIEGO GAS &amp; ELECTRIC COMPANY</w:t>
      </w:r>
    </w:p>
    <w:p>
      <w:pPr>
        <w:pStyle w:val="Normal"/>
        <w:jc w:val="both"/>
        <w:rPr>
          <w:b/>
        </w:rPr>
      </w:pPr>
      <w:r>
        <w:rPr>
          <w:b/>
        </w:rPr>
      </w:r>
    </w:p>
    <w:p>
      <w:pPr>
        <w:pStyle w:val="Normal"/>
        <w:ind w:hanging="720" w:start="1440" w:end="0"/>
        <w:jc w:val="both"/>
        <w:rPr/>
      </w:pPr>
      <w:r>
        <w:rPr>
          <w:rFonts w:eastAsia="Symbol" w:cs="Symbol" w:ascii="Symbol" w:hAnsi="Symbol"/>
          <w:b/>
        </w:rPr>
        <w:sym w:font="Symbol" w:char="f0b7"/>
      </w:r>
      <w:r>
        <w:rPr/>
        <w:tab/>
        <w:t xml:space="preserve">The components of SDG&amp;E’s URG revenue requirement are SONGS, various QF contracts, two intermediate term contracts, long term power purchase contract with PG&amp;E, bilateral contracts totaling 125 MW and relevant ISO charges  </w:t>
      </w:r>
    </w:p>
    <w:p>
      <w:pPr>
        <w:pStyle w:val="Normal"/>
        <w:tabs>
          <w:tab w:val="clear" w:pos="720"/>
          <w:tab w:val="left" w:pos="0" w:leader="none"/>
        </w:tabs>
        <w:ind w:start="1440" w:end="0"/>
        <w:jc w:val="both"/>
        <w:rPr/>
      </w:pPr>
      <w:r>
        <w:rPr>
          <w:rFonts w:eastAsia="Symbol" w:cs="Symbol" w:ascii="Symbol" w:hAnsi="Symbol"/>
        </w:rPr>
        <w:sym w:font="Symbol" w:char="f0b7"/>
      </w:r>
      <w:r>
        <w:rPr/>
        <w:tab/>
        <w:t>The revenue requirement for SONGS is based on ICIP</w:t>
      </w:r>
    </w:p>
    <w:p>
      <w:pPr>
        <w:pStyle w:val="Normal"/>
        <w:tabs>
          <w:tab w:val="clear" w:pos="720"/>
          <w:tab w:val="left" w:pos="0" w:leader="none"/>
        </w:tabs>
        <w:ind w:start="1440" w:end="0"/>
        <w:jc w:val="both"/>
        <w:rPr/>
      </w:pPr>
      <w:r>
        <w:rPr/>
      </w:r>
    </w:p>
    <w:p>
      <w:pPr>
        <w:pStyle w:val="Normal"/>
        <w:tabs>
          <w:tab w:val="clear" w:pos="720"/>
          <w:tab w:val="left" w:pos="0" w:leader="none"/>
        </w:tabs>
        <w:ind w:hanging="720" w:start="2160" w:end="0"/>
        <w:jc w:val="both"/>
        <w:rPr/>
      </w:pPr>
      <w:r>
        <w:rPr>
          <w:rFonts w:eastAsia="Symbol" w:cs="Symbol" w:ascii="Symbol" w:hAnsi="Symbol"/>
        </w:rPr>
        <w:sym w:font="Symbol" w:char="f0b7"/>
      </w:r>
      <w:r>
        <w:rPr/>
        <w:tab/>
        <w:t>The revenue requirement for the power purchase contracts are based on forecasts of deliveries and actual costs.</w:t>
      </w:r>
    </w:p>
    <w:p>
      <w:pPr>
        <w:pStyle w:val="Normal"/>
        <w:tabs>
          <w:tab w:val="clear" w:pos="720"/>
          <w:tab w:val="left" w:pos="0" w:leader="none"/>
        </w:tabs>
        <w:ind w:hanging="720" w:start="2160" w:end="0"/>
        <w:jc w:val="both"/>
        <w:rPr/>
      </w:pPr>
      <w:r>
        <w:rPr/>
      </w:r>
    </w:p>
    <w:p>
      <w:pPr>
        <w:pStyle w:val="Normal"/>
        <w:tabs>
          <w:tab w:val="clear" w:pos="720"/>
          <w:tab w:val="left" w:pos="0" w:leader="none"/>
        </w:tabs>
        <w:ind w:hanging="720" w:start="2160" w:end="0"/>
        <w:jc w:val="both"/>
        <w:rPr/>
      </w:pPr>
      <w:r>
        <w:rPr>
          <w:rFonts w:eastAsia="Symbol" w:cs="Symbol" w:ascii="Symbol" w:hAnsi="Symbol"/>
        </w:rPr>
        <w:sym w:font="Symbol" w:char="f0b7"/>
      </w:r>
      <w:r>
        <w:rPr/>
        <w:tab/>
        <w:t>The revenue requirement for the ISO charges includes the grid management charges and the “other ISO charges” (</w:t>
      </w:r>
      <w:r>
        <w:rPr>
          <w:i/>
        </w:rPr>
        <w:t>e.g.,</w:t>
      </w:r>
      <w:r>
        <w:rPr/>
        <w:t xml:space="preserve"> UFE, congestion); it does not include ancillary services costs as under the June 18, 2001 letter agreement between SDG&amp;E and DWR, DWR will pay for the ancillary service component part of the ISO charges.</w:t>
      </w:r>
    </w:p>
    <w:p>
      <w:pPr>
        <w:pStyle w:val="Normal"/>
        <w:tabs>
          <w:tab w:val="clear" w:pos="720"/>
          <w:tab w:val="left" w:pos="0" w:leader="none"/>
        </w:tabs>
        <w:ind w:hanging="720" w:start="2160" w:end="0"/>
        <w:jc w:val="both"/>
        <w:rPr/>
      </w:pPr>
      <w:r>
        <w:rPr/>
      </w:r>
    </w:p>
    <w:p>
      <w:pPr>
        <w:pStyle w:val="Normal"/>
        <w:tabs>
          <w:tab w:val="clear" w:pos="720"/>
          <w:tab w:val="left" w:pos="0" w:leader="none"/>
        </w:tabs>
        <w:ind w:hanging="720" w:start="2160" w:end="0"/>
        <w:jc w:val="both"/>
        <w:rPr/>
      </w:pPr>
      <w:r>
        <w:rPr>
          <w:rFonts w:eastAsia="Symbol" w:cs="Symbol" w:ascii="Symbol" w:hAnsi="Symbol"/>
        </w:rPr>
        <w:sym w:font="Symbol" w:char="f0b7"/>
      </w:r>
      <w:r>
        <w:rPr/>
        <w:tab/>
        <w:t>SDG&amp;E’s total URG revenue requirement is $525,584,000.</w:t>
      </w:r>
      <w:r>
        <w:rPr>
          <w:rStyle w:val="FootnoteCharacters"/>
          <w:rStyle w:val="FootnoteReference"/>
        </w:rPr>
        <w:footnoteReference w:id="4"/>
      </w:r>
      <w:r>
        <w:rPr/>
        <w:t xml:space="preserve">    </w:t>
        <w:tab/>
      </w:r>
    </w:p>
    <w:p>
      <w:pPr>
        <w:pStyle w:val="Normal"/>
        <w:ind w:hanging="720" w:start="2160" w:end="0"/>
        <w:jc w:val="both"/>
        <w:rPr/>
      </w:pPr>
      <w:r>
        <w:rPr/>
        <w:t xml:space="preserve"> </w:t>
      </w:r>
      <w:r>
        <w:rPr/>
        <w:tab/>
        <w:t xml:space="preserve">  </w:t>
      </w:r>
      <w:r>
        <w:rPr>
          <w:b/>
        </w:rPr>
        <w:tab/>
      </w:r>
    </w:p>
    <w:p>
      <w:pPr>
        <w:pStyle w:val="Normal"/>
        <w:spacing w:lineRule="exact" w:line="200" w:before="240" w:after="0"/>
        <w:rPr/>
      </w:pPr>
      <w:r>
        <w:rPr>
          <w:rStyle w:val="zzmpTrailerItem"/>
        </w:rPr>
        <w:t>2704/147/X25702-1</w:t>
      </w:r>
      <w:r>
        <w:rPr/>
        <w:t xml:space="preserve"> </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152" w:footer="720" w:bottom="1152"/>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jc w:val="both"/>
        <w:rPr/>
      </w:pPr>
      <w:r>
        <w:rPr>
          <w:rStyle w:val="FootnoteCharacters"/>
        </w:rPr>
        <w:footnoteRef/>
      </w:r>
      <w:r>
        <w:rPr/>
        <w:t xml:space="preserve"> </w:t>
      </w:r>
      <w:r>
        <w:rPr/>
        <w:tab/>
        <w:t>In Advice 1535-E, SCE restates the balances of its TCBA and generation memorandum accounts.</w:t>
      </w:r>
    </w:p>
  </w:footnote>
  <w:footnote w:id="3">
    <w:p>
      <w:pPr>
        <w:pStyle w:val="FootnoteText"/>
        <w:spacing w:before="0" w:after="240"/>
        <w:ind w:hanging="720" w:start="720" w:end="0"/>
        <w:jc w:val="both"/>
        <w:rPr/>
      </w:pPr>
      <w:r>
        <w:rPr>
          <w:rStyle w:val="FootnoteCharacters"/>
        </w:rPr>
        <w:footnoteRef/>
      </w:r>
      <w:r>
        <w:rPr/>
        <w:t xml:space="preserve"> </w:t>
      </w:r>
      <w:r>
        <w:rPr/>
        <w:tab/>
        <w:t>This $8 million a month is only for grid management charges as, given the fact that PG&amp;E is not meet the ISO’s creditworthiness requirements it cannot be responsible for ancillary services provided in the ISO markets</w:t>
      </w:r>
    </w:p>
  </w:footnote>
  <w:footnote w:id="4">
    <w:p>
      <w:pPr>
        <w:pStyle w:val="FootnoteText"/>
        <w:spacing w:before="0" w:after="240"/>
        <w:ind w:hanging="720" w:start="720" w:end="0"/>
        <w:jc w:val="both"/>
        <w:rPr/>
      </w:pPr>
      <w:r>
        <w:rPr>
          <w:rStyle w:val="FootnoteCharacters"/>
        </w:rPr>
        <w:footnoteRef/>
      </w:r>
      <w:r>
        <w:rPr/>
        <w:t xml:space="preserve"> </w:t>
      </w:r>
      <w:r>
        <w:rPr/>
        <w:tab/>
        <w:t xml:space="preserve">It is $540,040,000 if you include the cost of Intermediate Term Contracts which are under litigation.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147/X25702-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240"/>
      <w:ind w:hanging="720" w:start="720" w:end="0"/>
      <w:jc w:val="both"/>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2001-06-26T17:27:00Z</dcterms:created>
  <dc:creator>JMB</dc:creator>
  <dc:description/>
  <dc:language>en-CA</dc:language>
  <cp:lastModifiedBy>JMB</cp:lastModifiedBy>
  <dcterms:modified xsi:type="dcterms:W3CDTF">2001-06-26T17:27:00Z</dcterms:modified>
  <cp:revision>2</cp:revision>
  <dc:subject/>
  <dc:title>RETAINED GENERATION TESTIMONY</dc:title>
</cp:coreProperties>
</file>