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tabs>
                <w:tab w:val="clear" w:pos="720"/>
                <w:tab w:val="left" w:pos="-720" w:leader="none"/>
              </w:tabs>
              <w:suppressAutoHyphens w:val="true"/>
              <w:rPr/>
            </w:pPr>
            <w:r>
              <w:rPr/>
              <w:t>Application of PACIFIC GAS AND ELECTRIC</w:t>
              <w:tab/>
            </w:r>
          </w:p>
          <w:p>
            <w:pPr>
              <w:pStyle w:val="Normal"/>
              <w:pBdr>
                <w:bottom w:val="single" w:sz="12" w:space="1" w:color="000000"/>
              </w:pBdr>
              <w:tabs>
                <w:tab w:val="clear" w:pos="720"/>
                <w:tab w:val="left" w:pos="-720" w:leader="none"/>
              </w:tabs>
              <w:suppressAutoHyphens w:val="true"/>
              <w:rPr/>
            </w:pPr>
            <w:r>
              <w:rPr/>
              <w:t>COMPANY for Verification, Consolidation</w:t>
              <w:tab/>
              <w:t>and Approval of Costs and Revenues in the Transition Revenue Account</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Application of SAN DIEGO GAS AND ELECTRIC COMPANY for Approval of (1)Consolidated Changes in 1999 Authorized Revenue and Revise Rate Components; (2) the CTC Rate Components and Associated Headroom Calculations; (3) RGTCOMA Balances; (4) PX Credit Computations; (5) Disposition of Various Balancing/Memorandum Accounts; and</w:t>
            </w:r>
          </w:p>
          <w:p>
            <w:pPr>
              <w:pStyle w:val="Normal"/>
              <w:pBdr>
                <w:bottom w:val="single" w:sz="12" w:space="1" w:color="000000"/>
              </w:pBdr>
              <w:tabs>
                <w:tab w:val="clear" w:pos="720"/>
                <w:tab w:val="left" w:pos="-720" w:leader="none"/>
              </w:tabs>
              <w:suppressAutoHyphens w:val="true"/>
              <w:rPr/>
            </w:pPr>
            <w:r>
              <w:rPr/>
              <w:t xml:space="preserve">(6) Electric Revenue Allocation and Rate Design Changes  </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Application of SOUTHERN CALIFORNIA EDISON</w:t>
            </w:r>
          </w:p>
          <w:p>
            <w:pPr>
              <w:pStyle w:val="Normal"/>
              <w:tabs>
                <w:tab w:val="clear" w:pos="720"/>
                <w:tab w:val="left" w:pos="-720" w:leader="none"/>
              </w:tabs>
              <w:suppressAutoHyphens w:val="true"/>
              <w:rPr/>
            </w:pPr>
            <w:r>
              <w:rPr/>
              <w:t>COMPANY to (1) Consolidate Authorized Rates and Revenue Requirements; (2) Verify Residual  Competition  Transition Charge Revenue; (3) Review and Dispose of Amounts in Various</w:t>
              <w:tab/>
              <w:t>Balancing and Memorandum Accounts; (4) Verify Regulatory Balances Transferred to the Transition Cost Balancing Account on January 1, 1998; and (5) Propose Rate Recovery for Santa Catalina Island Diesel Fuel Costs</w:t>
            </w:r>
          </w:p>
          <w:p>
            <w:pPr>
              <w:pStyle w:val="Normal"/>
              <w:rPr/>
            </w:pPr>
            <w:r>
              <w:rPr/>
              <w:tab/>
              <w:tab/>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A. 98-07-003</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 98-07-006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 98-07-026</w:t>
            </w:r>
          </w:p>
          <w:p>
            <w:pPr>
              <w:pStyle w:val="Normal"/>
              <w:tabs>
                <w:tab w:val="clear" w:pos="720"/>
                <w:tab w:val="left" w:pos="1872" w:leader="none"/>
              </w:tabs>
              <w:rPr/>
            </w:pPr>
            <w:r>
              <w:rPr/>
            </w:r>
          </w:p>
        </w:tc>
      </w:tr>
    </w:tbl>
    <w:p>
      <w:pPr>
        <w:pStyle w:val="Normal"/>
        <w:rPr/>
      </w:pPr>
      <w:r>
        <w:rPr/>
      </w:r>
    </w:p>
    <w:p>
      <w:pPr>
        <w:pStyle w:val="Normal"/>
        <w:jc w:val="center"/>
        <w:rPr>
          <w:b/>
        </w:rPr>
      </w:pPr>
      <w:r>
        <w:rPr>
          <w:b/>
        </w:rPr>
        <w:t>COMMENTS OF ENRON CORP. ON</w:t>
      </w:r>
    </w:p>
    <w:p>
      <w:pPr>
        <w:pStyle w:val="Normal"/>
        <w:jc w:val="center"/>
        <w:rPr>
          <w:b/>
        </w:rPr>
      </w:pPr>
      <w:r>
        <w:rPr>
          <w:b/>
        </w:rPr>
        <w:t>PROPOSED DECISION OF ALJ BARNETT</w:t>
      </w:r>
    </w:p>
    <w:p>
      <w:pPr>
        <w:pStyle w:val="Normal"/>
        <w:spacing w:before="0" w:after="240"/>
        <w:jc w:val="center"/>
        <w:rPr>
          <w:b/>
        </w:rPr>
      </w:pPr>
      <w:r>
        <w:rPr>
          <w:b/>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pacing w:before="120" w:after="0"/>
              <w:rPr/>
            </w:pPr>
            <w:r>
              <w:rPr/>
              <w:t>Date:  June 25, 2001</w:t>
            </w:r>
          </w:p>
        </w:tc>
        <w:tc>
          <w:tcPr>
            <w:tcW w:w="5040" w:type="dxa"/>
            <w:tcBorders/>
            <w:vAlign w:val="bottom"/>
          </w:tcPr>
          <w:p>
            <w:pPr>
              <w:pStyle w:val="Normal"/>
              <w:rPr/>
            </w:pPr>
            <w:r>
              <w:rPr/>
              <w:t>GOODIN, MACBRIDE, SQUERI,</w:t>
              <w:br/>
              <w:t>RITCHIE &amp; DAY, LLP</w:t>
            </w:r>
          </w:p>
          <w:p>
            <w:pPr>
              <w:pStyle w:val="Normal"/>
              <w:rPr/>
            </w:pPr>
            <w:r>
              <w:rPr/>
              <w:t>Michael B. Day</w:t>
            </w:r>
          </w:p>
          <w:p>
            <w:pPr>
              <w:pStyle w:val="Normal"/>
              <w:rPr/>
            </w:pPr>
            <w:r>
              <w:rPr/>
              <w:t>Jeanne M. Bennett</w:t>
            </w:r>
          </w:p>
          <w:p>
            <w:pPr>
              <w:pStyle w:val="Normal"/>
              <w:rPr/>
            </w:pPr>
            <w:r>
              <w:rPr/>
              <w:t>505 Sansome Street, Suite 900</w:t>
              <w:br/>
              <w:t>San Francisco, CA  94111</w:t>
              <w:br/>
              <w:t>Telephone:</w:t>
              <w:tab/>
              <w:t>(415) 392-7900</w:t>
              <w:br/>
              <w:t>Facsimile:</w:t>
              <w:tab/>
              <w:t>(415) 398-4321</w:t>
            </w:r>
          </w:p>
          <w:p>
            <w:pPr>
              <w:pStyle w:val="Normal"/>
              <w:spacing w:before="240" w:after="0"/>
              <w:rPr/>
            </w:pPr>
            <w:r>
              <w:rPr/>
              <w:t>Attorneys for Enron Corp.</w:t>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spacing w:before="0" w:after="36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tabs>
                <w:tab w:val="clear" w:pos="720"/>
                <w:tab w:val="left" w:pos="-720" w:leader="none"/>
              </w:tabs>
              <w:suppressAutoHyphens w:val="true"/>
              <w:rPr/>
            </w:pPr>
            <w:r>
              <w:rPr/>
              <w:t>Application of PACIFIC GAS AND ELECTRIC</w:t>
              <w:tab/>
            </w:r>
          </w:p>
          <w:p>
            <w:pPr>
              <w:pStyle w:val="Normal"/>
              <w:pBdr>
                <w:bottom w:val="single" w:sz="12" w:space="1" w:color="000000"/>
              </w:pBdr>
              <w:tabs>
                <w:tab w:val="clear" w:pos="720"/>
                <w:tab w:val="left" w:pos="-720" w:leader="none"/>
              </w:tabs>
              <w:suppressAutoHyphens w:val="true"/>
              <w:rPr/>
            </w:pPr>
            <w:r>
              <w:rPr/>
              <w:t>COMPANY for Verification, Consolidation</w:t>
              <w:tab/>
              <w:t>and Approval of Costs and Revenues in the Transition Revenue Account</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Application of SAN DIEGO GAS AND ELECTRIC COMPANY for Approval of (1)Consolidated Changes in 1999 Authorized Revenue and Revise Rate Components; (2) the CTC Rate Components and Associated Headroom Calculations; (3) RGTCOMA Balances; (4) PX Credit Computations; (5) Disposition of Various Balancing/Memorandum Accounts; and</w:t>
            </w:r>
          </w:p>
          <w:p>
            <w:pPr>
              <w:pStyle w:val="Normal"/>
              <w:pBdr>
                <w:bottom w:val="single" w:sz="12" w:space="1" w:color="000000"/>
              </w:pBdr>
              <w:tabs>
                <w:tab w:val="clear" w:pos="720"/>
                <w:tab w:val="left" w:pos="-720" w:leader="none"/>
              </w:tabs>
              <w:suppressAutoHyphens w:val="true"/>
              <w:rPr/>
            </w:pPr>
            <w:r>
              <w:rPr/>
              <w:t xml:space="preserve">(6) Electric Revenue Allocation and Rate Design Changes  </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Application of SOUTHERN CALIFORNIA EDISON</w:t>
            </w:r>
          </w:p>
          <w:p>
            <w:pPr>
              <w:pStyle w:val="Normal"/>
              <w:tabs>
                <w:tab w:val="clear" w:pos="720"/>
                <w:tab w:val="left" w:pos="-720" w:leader="none"/>
              </w:tabs>
              <w:suppressAutoHyphens w:val="true"/>
              <w:rPr/>
            </w:pPr>
            <w:r>
              <w:rPr/>
              <w:t>COMPANY to (1) Consolidate Authorized Rates and Revenue Requirements; (2) Verify Residual  Competition  Transition Charge Revenue; (3) Review and Dispose of Amounts in Various</w:t>
              <w:tab/>
              <w:t>Balancing and Memorandum Accounts; (4) Verify Regulatory Balances Transferred to the Transition Cost Balancing Account on January 1, 1998; and (5) Propose Rate Recovery for Santa Catalina Island Diesel Fuel Costs</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A. 98-07-003</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 98-07-006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 98-07-026</w:t>
            </w:r>
          </w:p>
        </w:tc>
      </w:tr>
    </w:tbl>
    <w:p>
      <w:pPr>
        <w:pStyle w:val="Normal"/>
        <w:rPr/>
      </w:pPr>
      <w:r>
        <w:rPr/>
      </w:r>
    </w:p>
    <w:p>
      <w:pPr>
        <w:pStyle w:val="Normal"/>
        <w:jc w:val="center"/>
        <w:rPr>
          <w:b/>
        </w:rPr>
      </w:pPr>
      <w:r>
        <w:rPr>
          <w:b/>
        </w:rPr>
        <w:t>COMMENTS OF ENRON CORP. ON</w:t>
      </w:r>
    </w:p>
    <w:p>
      <w:pPr>
        <w:pStyle w:val="Normal"/>
        <w:jc w:val="center"/>
        <w:rPr>
          <w:b/>
        </w:rPr>
      </w:pPr>
      <w:r>
        <w:rPr>
          <w:b/>
        </w:rPr>
        <w:t>PROPOSED DECISION OF ALJ BARNETT</w:t>
      </w:r>
    </w:p>
    <w:p>
      <w:pPr>
        <w:pStyle w:val="Normal"/>
        <w:jc w:val="center"/>
        <w:rPr>
          <w:b/>
        </w:rPr>
      </w:pPr>
      <w:r>
        <w:rPr>
          <w:b/>
        </w:rPr>
      </w:r>
    </w:p>
    <w:p>
      <w:pPr>
        <w:pStyle w:val="Normal"/>
        <w:spacing w:lineRule="auto" w:line="480"/>
        <w:jc w:val="both"/>
        <w:rPr/>
      </w:pPr>
      <w:r>
        <w:rPr/>
        <w:tab/>
        <w:t>In accord with Rule 77 of the Commission’s Rules of Practice and Procedure, Enron Corp. comments on the Proposed Decision of ALJ Barnett issued in the above referenced proceeding on June 15, 2001 (the “PD”).  The PD addresses two areas of concern: (1) Southern California Edison Company’s Petition to Modify Decision 99-06-058 so as to suspend payment of the PX credit; and (2) Commission suspension of direct access in accordance with ABX1-1. With respect to the former, Enron submits, as explained in detail below, that, the PD is in error in its interpretation of the applicable stipulation and, unless modified, could result in eradication of SCE’s obligation under such Commission-approved stipulation.  In regards to the latter point, the PD’s approach to the suspension of direct access is premature, failing to address potential alternatives.</w:t>
      </w:r>
    </w:p>
    <w:p>
      <w:pPr>
        <w:pStyle w:val="Normal"/>
        <w:ind w:hanging="720" w:start="720" w:end="0"/>
        <w:jc w:val="both"/>
        <w:rPr>
          <w:b/>
        </w:rPr>
      </w:pPr>
      <w:r>
        <w:rPr>
          <w:b/>
        </w:rPr>
        <w:t>I.</w:t>
        <w:tab/>
        <w:t>THE PD MUST RECOGNIZE SCE’S OBLIGATIONS UNDER THE STIPULATION</w:t>
      </w:r>
    </w:p>
    <w:p>
      <w:pPr>
        <w:pStyle w:val="Normal"/>
        <w:ind w:hanging="720" w:start="720" w:end="0"/>
        <w:jc w:val="both"/>
        <w:rPr>
          <w:b/>
        </w:rPr>
      </w:pPr>
      <w:r>
        <w:rPr>
          <w:b/>
        </w:rPr>
        <w:t xml:space="preserve"> </w:t>
      </w:r>
      <w:r>
        <w:rPr>
          <w:b/>
        </w:rPr>
        <w:tab/>
        <w:tab/>
        <w:tab/>
        <w:tab/>
      </w:r>
    </w:p>
    <w:p>
      <w:pPr>
        <w:pStyle w:val="Normal"/>
        <w:spacing w:lineRule="auto" w:line="480"/>
        <w:jc w:val="both"/>
        <w:rPr/>
      </w:pPr>
      <w:r>
        <w:rPr/>
        <w:tab/>
        <w:t xml:space="preserve">The ordering paragraphs of the PD (1) grant SCE’s Petition for Modification, (2) make such grant applicable to Pacific Gas and Electric Company and San Diego Gas &amp; Electric Company, and (3) direct the UDCs not to make any cash payments to direct access customers or energy service providers to satisfy </w:t>
      </w:r>
      <w:r>
        <w:rPr>
          <w:i/>
        </w:rPr>
        <w:t>customers’ PX credit balances</w:t>
      </w:r>
      <w:r>
        <w:rPr/>
        <w:t xml:space="preserve">.   The ordering paragraphs, when read in conjunction, at best are unclear and, at worst, could effectively forgive SCE (and PG&amp;E) of their obligations to pay the majority of their outstanding PX credits.   </w:t>
      </w:r>
    </w:p>
    <w:p>
      <w:pPr>
        <w:pStyle w:val="Normal"/>
        <w:spacing w:lineRule="auto" w:line="480"/>
        <w:jc w:val="both"/>
        <w:rPr/>
      </w:pPr>
      <w:r>
        <w:rPr/>
        <w:tab/>
      </w:r>
      <w:r>
        <w:rPr>
          <w:b/>
        </w:rPr>
        <w:t>A.</w:t>
        <w:tab/>
        <w:t>Nature of Relief Requested</w:t>
      </w:r>
    </w:p>
    <w:p>
      <w:pPr>
        <w:pStyle w:val="Normal"/>
        <w:spacing w:lineRule="auto" w:line="480"/>
        <w:jc w:val="both"/>
        <w:rPr/>
      </w:pPr>
      <w:r>
        <w:rPr/>
        <w:tab/>
        <w:t>In its January 25, 2001 Petition for Modification of Decision 99-06-058, SCE requested that the Commission suspend its obligation to pay PX Energy Credits to ESPs and direct access customers from the time period beginning January 5, 2001, and continuing until the date that a solution to the energy crisis is reached.  Therein, SCE acknowledged its obligation, in accord with the terms of the Commission approved stipulation between SCE, Enron and the Western Power Trading Forum, to the pay the amounts owing and the fact that it had been making such cash payments.  SCE went on to explain the increasing difficulty that it was having in making such payments given its liquidity crisis.  SCE, however, did not ask for an eradication of its obligation to pay amounts owing and continuing to accrue, but merely a suspension of that obligation as of January 5, 2001 until some indefinite date in the future.</w:t>
      </w:r>
    </w:p>
    <w:p>
      <w:pPr>
        <w:pStyle w:val="Normal"/>
        <w:spacing w:lineRule="auto" w:line="480"/>
        <w:jc w:val="both"/>
        <w:rPr/>
      </w:pPr>
      <w:r>
        <w:rPr/>
        <w:tab/>
      </w:r>
      <w:r>
        <w:rPr>
          <w:b/>
        </w:rPr>
        <w:t>B.</w:t>
        <w:tab/>
        <w:t>Nature of Relief Received</w:t>
      </w:r>
      <w:r>
        <w:rPr/>
        <w:t xml:space="preserve">   </w:t>
      </w:r>
    </w:p>
    <w:p>
      <w:pPr>
        <w:pStyle w:val="Normal"/>
        <w:spacing w:lineRule="auto" w:line="480"/>
        <w:ind w:firstLine="720" w:end="0"/>
        <w:jc w:val="both"/>
        <w:rPr/>
      </w:pPr>
      <w:r>
        <w:rPr/>
        <w:t>The PD takes SCE’s petition one step farther than requested and determines that, under the terms of the applicable stipulations SCE (and PG&amp;E) do not have to make cash payments to satisfy the outstanding balance of PX credits owed direct access customers and their energy service providers.</w:t>
      </w:r>
      <w:r>
        <w:rPr>
          <w:rStyle w:val="FootnoteCharacters"/>
          <w:rStyle w:val="FootnoteReference"/>
        </w:rPr>
        <w:footnoteReference w:id="2"/>
      </w:r>
      <w:r>
        <w:rPr/>
        <w:t xml:space="preserve">   Rather, according to the PD, the Stipulation only requires SCE to apply a credit to a direct access customer’s bill equal to the PX energy charge, regardless of whether that credit exceeds the remaining charges. It is not clear from the language whether this suspension of the cash payment obligation is from January 5, 2001 (the date SCE specified in its petition) forward, or from some earlier (indeterminable) date.  If it is the earlier date, the practical effect of the PD is that the large balances in unpaid PX credits would have to be “worked off” in bill credits.  As explained below, this approach could, in effect, unjustifiably negate a large portion of PG&amp;E’s and SCE amounts owing.</w:t>
      </w:r>
    </w:p>
    <w:p>
      <w:pPr>
        <w:pStyle w:val="Normal"/>
        <w:spacing w:lineRule="auto" w:line="480"/>
        <w:ind w:firstLine="720" w:end="0"/>
        <w:jc w:val="both"/>
        <w:rPr>
          <w:b/>
        </w:rPr>
      </w:pPr>
      <w:r>
        <w:rPr>
          <w:b/>
        </w:rPr>
        <w:t>C.</w:t>
        <w:tab/>
        <w:t xml:space="preserve">Impact of PD’s Suspension of Cash Payment </w:t>
      </w:r>
    </w:p>
    <w:p>
      <w:pPr>
        <w:pStyle w:val="Normal"/>
        <w:spacing w:lineRule="auto" w:line="480"/>
        <w:ind w:firstLine="720" w:end="0"/>
        <w:jc w:val="both"/>
        <w:rPr>
          <w:b/>
        </w:rPr>
      </w:pPr>
      <w:r>
        <w:rPr/>
        <w:t xml:space="preserve">Enron’s affiliated companies that are energy service providers in the state perform consolidated billing for their direct access customers.  This means that each month the UDC calculates all the charges owed by the direct access customer and coveys these charges to the ESP to be included on the ESP’s bill to the customer.  The account, with respect to the customer, is established between the ESP and the UDC (not the UDC and the customer).  Thus any outstanding credit amount resides in that account.  Given the current unstable energy market in California, Enron, like other ESPs, was compelled to turn back a large percentage of its direct access customers to UDC bundled service.  Thus, the accounts on which the credit balances are owed are no longer active. There is no way to “work off” the credit balance through future charges on the account.  By eliminating the UDCs’ obligation under the Stipulation to make cash payments of PX credit balances owing, the PD would effectively eliminate any form of compensation to the ESP, and eradicate critical provisions of a Commission approved Stipulation.  The Commission should be equitably estopped from changing provisions of a Stipulation on which parties relied.  Accordingly, the PD must be modified to recognize SCE’s obligation under the Stipulation to remit cash payments for PX credit balances owing.   </w:t>
      </w:r>
    </w:p>
    <w:p>
      <w:pPr>
        <w:pStyle w:val="Normal"/>
        <w:spacing w:lineRule="auto" w:line="480"/>
        <w:ind w:firstLine="720" w:end="0"/>
        <w:jc w:val="both"/>
        <w:rPr/>
      </w:pPr>
      <w:r>
        <w:rPr>
          <w:b/>
        </w:rPr>
        <w:t>D.</w:t>
        <w:tab/>
        <w:t xml:space="preserve">The PD’s Interpretation of the Stipulation is Erroneous  </w:t>
      </w:r>
      <w:r>
        <w:rPr/>
        <w:t xml:space="preserve">              </w:t>
      </w:r>
    </w:p>
    <w:p>
      <w:pPr>
        <w:pStyle w:val="Normal"/>
        <w:spacing w:lineRule="auto" w:line="480"/>
        <w:ind w:firstLine="720" w:end="0"/>
        <w:jc w:val="both"/>
        <w:rPr/>
      </w:pPr>
      <w:r>
        <w:rPr/>
        <w:t xml:space="preserve"> </w:t>
      </w:r>
      <w:r>
        <w:rPr/>
        <w:t xml:space="preserve">In support of its interpretation of the Stipulation, the PD cites the Stipulation’s reference to the term “credit,” where there is no reference to cash.  This reference, however, is mischaracterized in the PD.  The term credit is used only in the context of amounts owing for the time period between the approval of the Stipulation and the conversion of SCE’s billing system.  The term credit is not used in the context SCE’s ongoing payment obligation under the Stipulation.  Thus, the cited passage is irrelevant as to whether SCE is obligated to make cash refunds of PX credit amounts owing.  This is made evident by the PD’s own notation that “SCE interpreted the stipulation as requiring cash payment when the credit exceeded the minimum bill.”  Indeed, SCE had been making cash payments to direct access customers and energy service providers for the PX credit amount that exceeded the remaining charges up until approximately December 2000.  Similarly, PG&amp;E made cash payments to certain direct access customers and ESPs.  This course of action, consistent with the parties’ interpretation of the Stipulation, was relied upon by direct access customers and energy service providers with respect to their actions in the direct access market.  The Commission should not, two years after the fact, change the rules of the game in a manner counter to the parties’ interpretation of their own agreement.  Accordingly, the PD must be modified to eliminate its interpretation of the Stipulation as not requiring cash payments.   </w:t>
      </w:r>
    </w:p>
    <w:p>
      <w:pPr>
        <w:pStyle w:val="Normal"/>
        <w:ind w:hanging="720" w:start="1440" w:end="0"/>
        <w:jc w:val="both"/>
        <w:rPr>
          <w:b/>
        </w:rPr>
      </w:pPr>
      <w:r>
        <w:rPr>
          <w:b/>
        </w:rPr>
        <w:t>E.</w:t>
        <w:tab/>
        <w:t>The PD’s Alternative Rationale Lends Toward Temporary Suspension, Not Elimination, of Cash Payment Obligation</w:t>
      </w:r>
    </w:p>
    <w:p>
      <w:pPr>
        <w:pStyle w:val="Normal"/>
        <w:ind w:hanging="720" w:start="1440" w:end="0"/>
        <w:jc w:val="both"/>
        <w:rPr>
          <w:b/>
        </w:rPr>
      </w:pPr>
      <w:r>
        <w:rPr>
          <w:b/>
        </w:rPr>
        <w:t xml:space="preserve">   </w:t>
      </w:r>
    </w:p>
    <w:p>
      <w:pPr>
        <w:pStyle w:val="Normal"/>
        <w:spacing w:lineRule="auto" w:line="480"/>
        <w:ind w:firstLine="720" w:end="0"/>
        <w:jc w:val="both"/>
        <w:rPr>
          <w:b/>
        </w:rPr>
      </w:pPr>
      <w:r>
        <w:rPr/>
        <w:t xml:space="preserve"> </w:t>
      </w:r>
      <w:r>
        <w:rPr/>
        <w:t xml:space="preserve">The PD attempts to address the deficiency in its reasoning by stating that even if the stipulation “is given a broader interpretation requiring cash payments, we would still suspend the payment of cash in lieu of a credit.”  The PD’s rationale is that UDC cash is in short supply and should be conserved to provide reliable service.  Enron submits that given the language of the Stipulation, coupled with the understanding of the signatories thereto, and the impact which the PD’s narrow interpretation would have on the UDCs’ obligation, the broader interpretation of requiring cash payments must be acknowledged. Under such circumstances, Ordering Paragraph No. 3 must be modified to recognize SCE’s (and PG&amp;E’s) obligation to make such cash payments at such time as their current liquidity problems are eased. </w:t>
      </w:r>
    </w:p>
    <w:p>
      <w:pPr>
        <w:pStyle w:val="Normal"/>
        <w:spacing w:lineRule="auto" w:line="480"/>
        <w:jc w:val="both"/>
        <w:rPr>
          <w:b/>
        </w:rPr>
      </w:pPr>
      <w:r>
        <w:rPr>
          <w:b/>
        </w:rPr>
        <w:t>II.</w:t>
        <w:tab/>
        <w:t xml:space="preserve">THE SUSPENSION OF DIRECT ACCESS IS PREMATURE </w:t>
        <w:tab/>
      </w:r>
    </w:p>
    <w:p>
      <w:pPr>
        <w:pStyle w:val="Normal"/>
        <w:spacing w:lineRule="auto" w:line="480"/>
        <w:ind w:firstLine="720" w:end="0"/>
        <w:jc w:val="both"/>
        <w:rPr/>
      </w:pPr>
      <w:r>
        <w:rPr/>
        <w:t>The PD, citing newly enacted Water Code Section 80110, provides that “the legislature has directed this Commission to suspend direct access until DWR no longer procures power for the retail end use customers, and we find it should be stopped effective July 1, 2001.” Enron submits that the PD’s actions are premature.  As recognized in the Alternate Decision issued in this proceeding by Commissioner Bilas, DWR has stated its concerns with respect to the continuation of the direct access option during the pendancy of its power procurement obligations.</w:t>
      </w:r>
      <w:r>
        <w:rPr>
          <w:rStyle w:val="FootnoteCharacters"/>
          <w:rStyle w:val="FootnoteReference"/>
        </w:rPr>
        <w:footnoteReference w:id="3"/>
      </w:r>
      <w:r>
        <w:rPr/>
        <w:t xml:space="preserve">   DWR has set forth certain conditions that could alleviate those concerns.  Commissioner Bilas is requesting comment on those conditions as well as soliciting additional options.  In addition, the legislature is currently reviewing various forms of legislation that would allow direct access to continue while appeasing the concerns of DWR.  The bottom line is that the Commission should await the outcome of such deliberations prior to terminating the direct access option.  The PD should be modified to remove the suspension of direct access and allow such deliberations to go forward. </w:t>
      </w:r>
      <w:r>
        <w:br w:type="page"/>
      </w:r>
    </w:p>
    <w:p>
      <w:pPr>
        <w:pStyle w:val="Normal"/>
        <w:spacing w:lineRule="auto" w:line="480"/>
        <w:jc w:val="both"/>
        <w:rPr>
          <w:b/>
        </w:rPr>
      </w:pPr>
      <w:r>
        <w:rPr>
          <w:b/>
        </w:rPr>
        <w:t>III.</w:t>
        <w:tab/>
        <w:t>CONCLUSION</w:t>
      </w:r>
    </w:p>
    <w:p>
      <w:pPr>
        <w:pStyle w:val="Normal"/>
        <w:spacing w:lineRule="auto" w:line="480"/>
        <w:jc w:val="both"/>
        <w:rPr/>
      </w:pPr>
      <w:r>
        <w:rPr>
          <w:b/>
        </w:rPr>
        <w:tab/>
      </w:r>
      <w:r>
        <w:rPr/>
        <w:t xml:space="preserve">For the above stated reasons, the PD should be modified to (1) recognize SCE (and PG&amp;E’s) obligations under the Stipulation to make cash payments for outstanding PX credit balances; and (2) remove the language suspending new direct access transactions, thereby allow further deliberations of the matter to go forward.  </w:t>
      </w:r>
    </w:p>
    <w:p>
      <w:pPr>
        <w:pStyle w:val="Normal"/>
        <w:spacing w:lineRule="auto" w:line="480"/>
        <w:ind w:start="5040" w:end="0"/>
        <w:jc w:val="both"/>
        <w:rPr/>
      </w:pPr>
      <w:r>
        <w:rPr/>
        <w:t xml:space="preserve">  </w:t>
      </w:r>
      <w:r>
        <w:rPr/>
        <w:br/>
        <w:t xml:space="preserve"> Respectively submitted,</w:t>
      </w:r>
    </w:p>
    <w:p>
      <w:pPr>
        <w:pStyle w:val="Normal"/>
        <w:ind w:firstLine="720" w:start="4320" w:end="0"/>
        <w:rPr/>
      </w:pPr>
      <w:r>
        <w:rPr/>
        <w:t>GOODIN, MACBRIDE, SQUERI</w:t>
        <w:br/>
        <w:t xml:space="preserve">            RITCHIE &amp; DAY, LLP</w:t>
      </w:r>
    </w:p>
    <w:p>
      <w:pPr>
        <w:pStyle w:val="PleadingSignature"/>
        <w:rPr/>
      </w:pPr>
      <w:r>
        <w:rPr/>
        <w:tab/>
        <w:t>Michael B. Day</w:t>
      </w:r>
    </w:p>
    <w:p>
      <w:pPr>
        <w:pStyle w:val="PleadingSignature"/>
        <w:rPr/>
      </w:pPr>
      <w:r>
        <w:rPr/>
        <w:tab/>
        <w:t>Jeanne M. Bennett</w:t>
      </w:r>
    </w:p>
    <w:p>
      <w:pPr>
        <w:pStyle w:val="PleadingSignature"/>
        <w:tabs>
          <w:tab w:val="left" w:pos="5040" w:leader="none"/>
          <w:tab w:val="left" w:pos="6480" w:leader="none"/>
          <w:tab w:val="right" w:pos="9360" w:leader="none"/>
        </w:tabs>
        <w:ind w:start="5040" w:end="0"/>
        <w:rPr/>
      </w:pPr>
      <w:r>
        <w:rPr/>
        <w:t>505 Sansome Street, Suite 900</w:t>
        <w:tab/>
        <w:br/>
        <w:t>San Francisco, California  94111</w:t>
        <w:br/>
        <w:t>Telephone:</w:t>
        <w:tab/>
        <w:t>(415) 392-7900</w:t>
        <w:br/>
        <w:t>Facsimile:</w:t>
        <w:tab/>
        <w:t>(415) 398-4321</w:t>
      </w:r>
    </w:p>
    <w:p>
      <w:pPr>
        <w:pStyle w:val="PleadingSignature"/>
        <w:spacing w:before="720" w:after="0"/>
        <w:rPr/>
      </w:pPr>
      <w:r>
        <w:rPr/>
        <w:tab/>
        <w:t>By</w:t>
      </w:r>
    </w:p>
    <w:p>
      <w:pPr>
        <w:pStyle w:val="PleadingSignature"/>
        <w:pBdr>
          <w:top w:val="single" w:sz="4" w:space="1" w:color="000000"/>
        </w:pBdr>
        <w:tabs>
          <w:tab w:val="left" w:pos="5040" w:leader="none"/>
          <w:tab w:val="left" w:pos="5846" w:leader="none"/>
          <w:tab w:val="right" w:pos="9360" w:leader="none"/>
        </w:tabs>
        <w:ind w:start="5486" w:end="120"/>
        <w:rPr/>
      </w:pPr>
      <w:r>
        <w:rPr/>
        <w:tab/>
        <w:t>Jeanne M. Bennett</w:t>
      </w:r>
    </w:p>
    <w:p>
      <w:pPr>
        <w:pStyle w:val="PleadingSignature"/>
        <w:spacing w:before="240" w:after="0"/>
        <w:ind w:end="120"/>
        <w:rPr/>
      </w:pPr>
      <w:r>
        <w:rPr/>
        <w:tab/>
        <w:t>Attorneys for Enron Corp.</w:t>
      </w:r>
    </w:p>
    <w:p>
      <w:pPr>
        <w:pStyle w:val="PleadingSignature"/>
        <w:spacing w:before="240" w:after="0"/>
        <w:ind w:hanging="5040" w:end="120"/>
        <w:rPr/>
      </w:pPr>
      <w:r>
        <w:rPr/>
        <w:t xml:space="preserve">       </w:t>
      </w:r>
      <w:r>
        <w:rPr/>
        <w:t xml:space="preserve">June 25, 2001 </w:t>
      </w:r>
      <w:r>
        <w:br w:type="page"/>
      </w:r>
    </w:p>
    <w:p>
      <w:pPr>
        <w:pStyle w:val="Normal"/>
        <w:spacing w:lineRule="exact" w:line="200" w:before="240" w:after="0"/>
        <w:jc w:val="center"/>
        <w:rPr>
          <w:b/>
        </w:rPr>
      </w:pPr>
      <w:r>
        <w:rPr>
          <w:b/>
        </w:rPr>
        <w:t>PROPOSED FINDINGS OF FACT AND CONCLUSIONS OF LAW</w:t>
      </w:r>
    </w:p>
    <w:p>
      <w:pPr>
        <w:pStyle w:val="Normal"/>
        <w:spacing w:lineRule="exact" w:line="200" w:before="240" w:after="0"/>
        <w:jc w:val="both"/>
        <w:rPr>
          <w:b/>
          <w:i/>
          <w:i/>
        </w:rPr>
      </w:pPr>
      <w:r>
        <w:rPr>
          <w:b/>
          <w:i/>
        </w:rPr>
      </w:r>
    </w:p>
    <w:p>
      <w:pPr>
        <w:pStyle w:val="Normal"/>
        <w:spacing w:lineRule="exact" w:line="200" w:before="240" w:after="0"/>
        <w:jc w:val="both"/>
        <w:rPr>
          <w:b/>
          <w:i/>
          <w:i/>
        </w:rPr>
      </w:pPr>
      <w:r>
        <w:rPr>
          <w:b/>
          <w:i/>
        </w:rPr>
        <w:t>Findings of Fact</w:t>
      </w:r>
    </w:p>
    <w:p>
      <w:pPr>
        <w:pStyle w:val="Normal"/>
        <w:spacing w:lineRule="exact" w:line="200" w:before="240" w:after="0"/>
        <w:jc w:val="both"/>
        <w:rPr/>
      </w:pPr>
      <w:r>
        <w:rPr>
          <w:b/>
        </w:rPr>
        <w:t>1.</w:t>
        <w:tab/>
      </w:r>
      <w:r>
        <w:rPr/>
        <w:t>Finding of Fact No. 2 should be eliminated in its entirety.</w:t>
      </w:r>
    </w:p>
    <w:p>
      <w:pPr>
        <w:pStyle w:val="Normal"/>
        <w:spacing w:lineRule="exact" w:line="200" w:before="240" w:after="0"/>
        <w:jc w:val="both"/>
        <w:rPr/>
      </w:pPr>
      <w:r>
        <w:rPr/>
      </w:r>
    </w:p>
    <w:p>
      <w:pPr>
        <w:pStyle w:val="Normal"/>
        <w:spacing w:lineRule="exact" w:line="200" w:before="240" w:after="0"/>
        <w:jc w:val="both"/>
        <w:rPr/>
      </w:pPr>
      <w:r>
        <w:rPr>
          <w:b/>
        </w:rPr>
        <w:t>2.</w:t>
        <w:tab/>
      </w:r>
      <w:r>
        <w:rPr/>
        <w:t>Finding of Fact No. 3</w:t>
      </w:r>
      <w:r>
        <w:rPr>
          <w:b/>
        </w:rPr>
        <w:tab/>
      </w:r>
      <w:r>
        <w:rPr/>
        <w:t>should be modified to read as follows:</w:t>
      </w:r>
    </w:p>
    <w:p>
      <w:pPr>
        <w:pStyle w:val="Normal"/>
        <w:spacing w:before="240" w:after="0"/>
        <w:ind w:start="720" w:end="0"/>
        <w:jc w:val="both"/>
        <w:rPr/>
      </w:pPr>
      <w:r>
        <w:rPr/>
        <w:t>SCE’s obligation to make cash payments to direct access customers or ESPs under the terms of the Stipulation approved by the Commission in D. 98-06-058 is temporarily suspended.</w:t>
      </w:r>
    </w:p>
    <w:p>
      <w:pPr>
        <w:pStyle w:val="Normal"/>
        <w:spacing w:before="240" w:after="0"/>
        <w:jc w:val="both"/>
        <w:rPr/>
      </w:pPr>
      <w:r>
        <w:rPr>
          <w:b/>
        </w:rPr>
        <w:t>3.</w:t>
        <w:tab/>
      </w:r>
      <w:r>
        <w:rPr/>
        <w:t>A new finding of fact should be added:</w:t>
      </w:r>
    </w:p>
    <w:p>
      <w:pPr>
        <w:pStyle w:val="Normal"/>
        <w:spacing w:before="240" w:after="0"/>
        <w:ind w:start="720" w:end="0"/>
        <w:jc w:val="both"/>
        <w:rPr/>
      </w:pPr>
      <w:r>
        <w:rPr/>
        <w:t>SCE’s obligation to make cash payments to direct access customers or ESPs under the terms of the Stipulation approved by the Commission in D. 98-06-058 shall resume upon order of the Commission at such time as the utilities are financially able to resume their obligations for such payments.</w:t>
      </w:r>
    </w:p>
    <w:p>
      <w:pPr>
        <w:pStyle w:val="Normal"/>
        <w:spacing w:before="240" w:after="0"/>
        <w:jc w:val="both"/>
        <w:rPr/>
      </w:pPr>
      <w:r>
        <w:rPr>
          <w:b/>
        </w:rPr>
        <w:t>4.</w:t>
        <w:tab/>
      </w:r>
      <w:r>
        <w:rPr/>
        <w:t>Finding of Fact No. 5 should be modified to read as follows:</w:t>
      </w:r>
    </w:p>
    <w:p>
      <w:pPr>
        <w:pStyle w:val="Normal"/>
        <w:spacing w:before="240" w:after="0"/>
        <w:ind w:hanging="720" w:start="720" w:end="0"/>
        <w:jc w:val="both"/>
        <w:rPr/>
      </w:pPr>
      <w:r>
        <w:rPr/>
        <w:tab/>
        <w:t xml:space="preserve">The right to contract for direct access shall continue pending Commission exploration of the concerns expressed by State officials as to the impacts of such continuation upon the saleability of revenue bonds. </w:t>
      </w:r>
    </w:p>
    <w:p>
      <w:pPr>
        <w:pStyle w:val="Normal"/>
        <w:spacing w:before="240" w:after="0"/>
        <w:ind w:hanging="720" w:start="720" w:end="0"/>
        <w:jc w:val="both"/>
        <w:rPr>
          <w:b/>
          <w:i/>
          <w:i/>
        </w:rPr>
      </w:pPr>
      <w:r>
        <w:rPr>
          <w:b/>
          <w:i/>
        </w:rPr>
        <w:t>Conclusions of Law</w:t>
      </w:r>
    </w:p>
    <w:p>
      <w:pPr>
        <w:pStyle w:val="Normal"/>
        <w:spacing w:before="240" w:after="0"/>
        <w:ind w:hanging="720" w:start="720" w:end="0"/>
        <w:jc w:val="both"/>
        <w:rPr/>
      </w:pPr>
      <w:r>
        <w:rPr/>
        <w:t>1.</w:t>
        <w:tab/>
        <w:t>Conclusion of Law No. 3 should be modified to read as follows:</w:t>
      </w:r>
    </w:p>
    <w:p>
      <w:pPr>
        <w:pStyle w:val="Normal"/>
        <w:spacing w:before="240" w:after="0"/>
        <w:ind w:start="720" w:end="0"/>
        <w:jc w:val="both"/>
        <w:rPr/>
      </w:pPr>
      <w:r>
        <w:rPr/>
        <w:t>SCE’s obligation to make cash payments to direct access customers or ESPs under the terms of the Stipulation approved by the Commission in D. 98-06-058 is temporarily suspended.</w:t>
      </w:r>
    </w:p>
    <w:p>
      <w:pPr>
        <w:pStyle w:val="Normal"/>
        <w:spacing w:before="240" w:after="0"/>
        <w:ind w:hanging="720" w:start="720" w:end="0"/>
        <w:jc w:val="both"/>
        <w:rPr/>
      </w:pPr>
      <w:r>
        <w:rPr/>
        <w:t>2.</w:t>
        <w:tab/>
        <w:t xml:space="preserve">Conclusion of Law No. 5 should be eliminated in its entirety.   </w:t>
      </w:r>
    </w:p>
    <w:p>
      <w:pPr>
        <w:pStyle w:val="Normal"/>
        <w:spacing w:before="240" w:after="0"/>
        <w:ind w:start="720" w:end="0"/>
        <w:jc w:val="both"/>
        <w:rPr/>
      </w:pPr>
      <w:r>
        <w:rPr/>
      </w:r>
    </w:p>
    <w:p>
      <w:pPr>
        <w:pStyle w:val="Normal"/>
        <w:spacing w:before="240" w:after="0"/>
        <w:ind w:start="720" w:end="0"/>
        <w:jc w:val="both"/>
        <w:rPr/>
      </w:pPr>
      <w:r>
        <w:rPr/>
      </w:r>
    </w:p>
    <w:p>
      <w:pPr>
        <w:pStyle w:val="Normal"/>
        <w:spacing w:lineRule="exact" w:line="200" w:before="240" w:after="0"/>
        <w:jc w:val="both"/>
        <w:rPr/>
      </w:pPr>
      <w:r>
        <w:rPr/>
        <w:tab/>
      </w:r>
    </w:p>
    <w:p>
      <w:pPr>
        <w:pStyle w:val="Normal"/>
        <w:spacing w:lineRule="auto" w:line="480"/>
        <w:ind w:firstLine="720" w:end="0"/>
        <w:jc w:val="both"/>
        <w:rPr/>
      </w:pPr>
      <w:r>
        <w:rPr/>
      </w:r>
    </w:p>
    <w:p>
      <w:pPr>
        <w:pStyle w:val="Normal"/>
        <w:spacing w:lineRule="auto" w:line="480"/>
        <w:jc w:val="both"/>
        <w:rPr/>
      </w:pPr>
      <w:r>
        <w:rPr/>
        <w:t xml:space="preserve">      </w:t>
      </w:r>
    </w:p>
    <w:p>
      <w:pPr>
        <w:pStyle w:val="Normal"/>
        <w:spacing w:lineRule="exact" w:line="200" w:before="240" w:after="0"/>
        <w:rPr/>
      </w:pPr>
      <w:r>
        <w:rPr>
          <w:rStyle w:val="zzmpTrailerItem"/>
        </w:rPr>
        <w:t>2704/009/X25496-1</w:t>
      </w:r>
      <w:r>
        <w:rPr/>
        <w:t xml:space="preserve"> </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152" w:footer="720" w:bottom="1152"/>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jc w:val="both"/>
        <w:rPr/>
      </w:pPr>
      <w:r>
        <w:rPr>
          <w:rStyle w:val="FootnoteCharacters"/>
        </w:rPr>
        <w:footnoteRef/>
      </w:r>
      <w:r>
        <w:rPr/>
        <w:t xml:space="preserve"> </w:t>
      </w:r>
      <w:r>
        <w:rPr/>
        <w:tab/>
        <w:t xml:space="preserve">While the PD is addressing SCE’s Petition to Modify, the ordering paragraph makes the decision applicable to PG&amp;E.  PG&amp;E entered into a comparable stipulation with Enron and WPTF. </w:t>
        <w:tab/>
        <w:tab/>
        <w:t xml:space="preserve"> </w:t>
      </w:r>
    </w:p>
  </w:footnote>
  <w:footnote w:id="3">
    <w:p>
      <w:pPr>
        <w:pStyle w:val="FootnoteText"/>
        <w:spacing w:before="0" w:after="240"/>
        <w:ind w:hanging="720" w:start="720" w:end="0"/>
        <w:jc w:val="both"/>
        <w:rPr/>
      </w:pPr>
      <w:r>
        <w:rPr>
          <w:rStyle w:val="FootnoteCharacters"/>
        </w:rPr>
        <w:footnoteRef/>
      </w:r>
      <w:r>
        <w:rPr/>
        <w:t xml:space="preserve"> </w:t>
      </w:r>
      <w:r>
        <w:rPr/>
        <w:tab/>
        <w:t xml:space="preserve">Appendix B to Alternate Decision of Commissioner Bilas, A. 98-07-003 (June 15, 2001)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009/X25496-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240"/>
      <w:ind w:hanging="720" w:start="720" w:end="0"/>
      <w:jc w:val="both"/>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2001-06-20T21:22:00Z</dcterms:created>
  <dc:creator>JMB</dc:creator>
  <dc:description/>
  <dc:language>en-CA</dc:language>
  <cp:lastModifiedBy>JMB</cp:lastModifiedBy>
  <cp:lastPrinted>2001-06-20T15:39:00Z</cp:lastPrinted>
  <dcterms:modified xsi:type="dcterms:W3CDTF">2001-06-20T21:22:00Z</dcterms:modified>
  <cp:revision>2</cp:revision>
  <dc:subject/>
  <dc:title>BEFORE THE PUBLIC UTILITIES COMMISSION</dc:title>
</cp:coreProperties>
</file>