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r>
    </w:p>
    <w:p>
      <w:pPr>
        <w:pStyle w:val="Normal"/>
        <w:rPr>
          <w:b/>
        </w:rPr>
      </w:pPr>
      <w:r>
        <w:rPr>
          <w:b/>
        </w:rPr>
      </w:r>
    </w:p>
    <w:p>
      <w:pPr>
        <w:pStyle w:val="Normal"/>
        <w:rPr>
          <w:b/>
          <w:sz w:val="22"/>
        </w:rPr>
      </w:pPr>
      <w:r>
        <w:rPr>
          <w:b/>
          <w:sz w:val="22"/>
        </w:rPr>
        <w:t>To:</w:t>
        <w:tab/>
        <w:tab/>
        <w:t>Honorable Members: California State Assembly</w:t>
      </w:r>
    </w:p>
    <w:p>
      <w:pPr>
        <w:pStyle w:val="Normal"/>
        <w:rPr>
          <w:b/>
          <w:sz w:val="22"/>
        </w:rPr>
      </w:pPr>
      <w:r>
        <w:rPr>
          <w:b/>
          <w:sz w:val="22"/>
        </w:rPr>
      </w:r>
    </w:p>
    <w:p>
      <w:pPr>
        <w:pStyle w:val="Normal"/>
        <w:rPr>
          <w:b/>
          <w:sz w:val="22"/>
        </w:rPr>
      </w:pPr>
      <w:r>
        <w:rPr>
          <w:b/>
          <w:sz w:val="22"/>
        </w:rPr>
        <w:t>From:</w:t>
        <w:tab/>
        <w:tab/>
        <w:t>Hedy Govenar, Bev Hansen and Scott Govenar</w:t>
      </w:r>
    </w:p>
    <w:p>
      <w:pPr>
        <w:pStyle w:val="Normal"/>
        <w:rPr>
          <w:b/>
          <w:sz w:val="22"/>
        </w:rPr>
      </w:pPr>
      <w:r>
        <w:rPr>
          <w:b/>
          <w:sz w:val="22"/>
        </w:rPr>
        <w:tab/>
        <w:tab/>
        <w:t>Legislative Advocates, Enron</w:t>
      </w:r>
    </w:p>
    <w:p>
      <w:pPr>
        <w:pStyle w:val="Normal"/>
        <w:rPr>
          <w:b/>
          <w:sz w:val="22"/>
        </w:rPr>
      </w:pPr>
      <w:r>
        <w:rPr>
          <w:b/>
          <w:sz w:val="22"/>
        </w:rPr>
      </w:r>
    </w:p>
    <w:p>
      <w:pPr>
        <w:pStyle w:val="Normal"/>
        <w:rPr>
          <w:b/>
          <w:sz w:val="22"/>
        </w:rPr>
      </w:pPr>
      <w:r>
        <w:rPr>
          <w:b/>
          <w:sz w:val="22"/>
        </w:rPr>
        <w:t>Date:</w:t>
        <w:tab/>
        <w:tab/>
        <w:t>May 22, 2001</w:t>
      </w:r>
    </w:p>
    <w:p>
      <w:pPr>
        <w:pStyle w:val="Normal"/>
        <w:rPr>
          <w:b/>
          <w:sz w:val="22"/>
        </w:rPr>
      </w:pPr>
      <w:r>
        <w:rPr>
          <w:b/>
          <w:sz w:val="22"/>
        </w:rPr>
      </w:r>
    </w:p>
    <w:p>
      <w:pPr>
        <w:pStyle w:val="DeliveryPhrase"/>
        <w:spacing w:before="0" w:after="0"/>
        <w:rPr>
          <w:caps w:val="false"/>
          <w:smallCaps w:val="false"/>
          <w:sz w:val="22"/>
        </w:rPr>
      </w:pPr>
      <w:r>
        <w:rPr>
          <w:caps w:val="false"/>
          <w:smallCaps w:val="false"/>
          <w:sz w:val="22"/>
        </w:rPr>
        <w:t>Re:</w:t>
        <w:tab/>
        <w:tab/>
        <w:t>ABX2 2 (Corbett) – OPPOSE</w:t>
        <w:tab/>
        <w:tab/>
        <w:tab/>
        <w:tab/>
        <w:tab/>
        <w:tab/>
        <w:tab/>
      </w:r>
    </w:p>
    <w:p>
      <w:pPr>
        <w:pStyle w:val="Normal"/>
        <w:rPr>
          <w:b/>
          <w:caps/>
          <w:sz w:val="22"/>
        </w:rPr>
      </w:pPr>
      <w:r>
        <w:rPr>
          <w:b/>
          <w:caps/>
          <w:sz w:val="22"/>
        </w:rPr>
      </w:r>
    </w:p>
    <w:p>
      <w:pPr>
        <w:pStyle w:val="Normal"/>
        <w:rPr/>
      </w:pPr>
      <w:r>
        <w:rPr>
          <w:sz w:val="22"/>
        </w:rPr>
        <w:tab/>
        <w:t xml:space="preserve">On behalf of Enron, we are writing to express our opposition to ABX2 2.  A windfall profits tax will do nothing to increase supply, decrease demand, address the solvency of the IOUs or provide customer choice.  On the contrary, the bill will provide an overwhelming financial incentive for generators in California to produce </w:t>
      </w:r>
      <w:r>
        <w:rPr>
          <w:sz w:val="22"/>
          <w:u w:val="single"/>
        </w:rPr>
        <w:t>less electricity</w:t>
      </w:r>
      <w:r>
        <w:rPr>
          <w:sz w:val="22"/>
        </w:rPr>
        <w:t xml:space="preserve"> and an even greater financial incentive for new generation plants to locate outside of California.  Both of these effects would be disastrous for the state’s economy under current circumstances.  The bill contains numerous legal defects as well: it contravenes the federal constitution, intrudes upon federal regulation of the wholesale electric markets in an impermissible manner, and proposes to have the Public Utilities Commission regulate companies that are not subject to its jurisdiction.  Most disturbingly, the passage of this bill will increase the cost of power throughout the Western United States.  Enron has the following specific concerns with ABX2 2.</w:t>
      </w:r>
    </w:p>
    <w:p>
      <w:pPr>
        <w:pStyle w:val="Normal"/>
        <w:rPr>
          <w:sz w:val="22"/>
        </w:rPr>
      </w:pPr>
      <w:r>
        <w:rPr>
          <w:sz w:val="22"/>
        </w:rPr>
      </w:r>
    </w:p>
    <w:p>
      <w:pPr>
        <w:pStyle w:val="Normal"/>
        <w:ind w:firstLine="720" w:end="0"/>
        <w:rPr/>
      </w:pPr>
      <w:r>
        <w:rPr>
          <w:sz w:val="22"/>
        </w:rPr>
        <w:t xml:space="preserve">Imposition of a state tax upon persons and transactions requires jurisdiction to tax, referred to as a nexus.  The nexus provisions in ABX2 2 extend far beyond the traditional nexus standard, physical presence (established by the United State Supreme Court in </w:t>
      </w:r>
      <w:r>
        <w:rPr>
          <w:i/>
          <w:sz w:val="22"/>
        </w:rPr>
        <w:t>Quill Corp. v. North Dakota</w:t>
      </w:r>
      <w:r>
        <w:rPr>
          <w:sz w:val="22"/>
        </w:rPr>
        <w:t>.  The nexus in ABX2 2 is “considered established” by a mere contractual relationship with the state or simply the filing of a California tax return as part of a unitary group.  The sweeping nature of the ABX2 2 nexus definition violates both the Due Process Claus and the Commerce Clause of the United State Constitution.</w:t>
      </w:r>
    </w:p>
    <w:p>
      <w:pPr>
        <w:pStyle w:val="Normal"/>
        <w:rPr>
          <w:sz w:val="22"/>
        </w:rPr>
      </w:pPr>
      <w:r>
        <w:rPr>
          <w:sz w:val="22"/>
        </w:rPr>
      </w:r>
    </w:p>
    <w:p>
      <w:pPr>
        <w:pStyle w:val="Normal"/>
        <w:ind w:firstLine="720" w:end="0"/>
        <w:rPr/>
      </w:pPr>
      <w:r>
        <w:rPr>
          <w:sz w:val="22"/>
        </w:rPr>
        <w:t xml:space="preserve">This bill violates the Supremacy Clause.  It sets wholesale prices for electricity </w:t>
      </w:r>
      <w:r>
        <w:rPr>
          <w:sz w:val="22"/>
          <w:u w:val="single"/>
        </w:rPr>
        <w:t>and</w:t>
      </w:r>
      <w:r>
        <w:rPr>
          <w:sz w:val="22"/>
        </w:rPr>
        <w:t xml:space="preserve"> endows a state agency, the California Public Utilities Commission (“CPUC”) with authority to modify these wholesale rates.  While these rates are presented as a tax, the de facto effect of this tax is to confiscate the vast majority of any money due a wholesale supplier above a sales price set by the CPUC.  Furthermore this bill instructs a federally regulated agency to collect this tax on behalf of the state.  State law is pre-empted to the extent that it actually conflicts with federal law, as where compliance with both federal and state regulations is a physical impossibility or where state law stands as an obstacle to the accomplishment and execution of federal purposes and objectives.  It would be impossible for wholesale generators of electricity and the ISO to comply with federal law and regulations and this proposed state bill.  Thus the Windfall Profit Tax will not survive a Supremacy Clause challenge. </w:t>
      </w:r>
    </w:p>
    <w:p>
      <w:pPr>
        <w:pStyle w:val="Normal"/>
        <w:rPr>
          <w:sz w:val="22"/>
        </w:rPr>
      </w:pPr>
      <w:r>
        <w:rPr>
          <w:sz w:val="22"/>
        </w:rPr>
      </w:r>
    </w:p>
    <w:p>
      <w:pPr>
        <w:pStyle w:val="Normal"/>
        <w:ind w:firstLine="720" w:end="0"/>
        <w:rPr>
          <w:sz w:val="22"/>
        </w:rPr>
      </w:pPr>
      <w:r>
        <w:rPr>
          <w:sz w:val="22"/>
        </w:rPr>
        <w:t>By imposing a tax of between 50%-90% of all revenues in excess of a CPUC - determined “base price”, the bill empowers a state regulatory agency to effectively engage in rate regulation of wholesale electricity sellers, who, by the terms of this legislation, will not be permitted to earn or retain the vast majority of any revenues above a threshold determined by the CPUC based upon the commission’s notion of the seller’s cost plus a reasonable return and taxes.  The bill makes no distinction between wholesale and retail sales of electricity.  Thus, the bill provides for nothing less than traditional cost-based regulation of wholesale electricity sales by a state agency which has no jurisdiction to regulate the wholesale market.</w:t>
      </w:r>
    </w:p>
    <w:p>
      <w:pPr>
        <w:pStyle w:val="Normal"/>
        <w:ind w:firstLine="720" w:end="0"/>
        <w:rPr>
          <w:sz w:val="22"/>
        </w:rPr>
      </w:pPr>
      <w:r>
        <w:rPr>
          <w:sz w:val="22"/>
        </w:rPr>
        <w:t xml:space="preserve">  </w:t>
      </w:r>
    </w:p>
    <w:p>
      <w:pPr>
        <w:pStyle w:val="Normal"/>
        <w:ind w:firstLine="720" w:end="0"/>
        <w:rPr/>
      </w:pPr>
      <w:r>
        <w:rPr>
          <w:sz w:val="22"/>
        </w:rPr>
        <w:t>Exclusive jurisdiction over the wholesale market of electricity belongs to the Federal Energy Regulatory Commission (“FERC”).  Section 201 of the Federal Power Act</w:t>
      </w:r>
      <w:r>
        <w:rPr>
          <w:rStyle w:val="FootnoteCharacters"/>
          <w:rStyle w:val="FootnoteReference"/>
          <w:sz w:val="22"/>
        </w:rPr>
        <w:footnoteReference w:id="2"/>
      </w:r>
      <w:r>
        <w:rPr>
          <w:sz w:val="22"/>
        </w:rPr>
        <w:t xml:space="preserve"> establishes FERC’s jurisdiction over the transmission of electric energy in interstate commerce and the sale of electric energy at wholesale in interstate commerce.  FERC has exclusive jurisdiction to approve rates for electricity sold at wholesale and transmission in interstate commerce for private utilities, power marketers, power pools, power exchanges, and independent system operators. Under the Federal Power Act the pre-emptive effect of FERC’s jurisdiction over wholesale electric rates does not turn on whether a particular matter was actually determined in proceedings before FERC; rather, states may not regulate in areas in which FERC has exercised its jurisdiction to determine just and reasonable wholesale rates or to ensure that agreements affecting wholesale rates are reasonable.</w:t>
      </w:r>
    </w:p>
    <w:p>
      <w:pPr>
        <w:pStyle w:val="Normal"/>
        <w:rPr>
          <w:sz w:val="22"/>
        </w:rPr>
      </w:pPr>
      <w:r>
        <w:rPr>
          <w:sz w:val="22"/>
        </w:rPr>
      </w:r>
    </w:p>
    <w:p>
      <w:pPr>
        <w:pStyle w:val="BodyTextIndent2"/>
        <w:rPr>
          <w:sz w:val="22"/>
        </w:rPr>
      </w:pPr>
      <w:r>
        <w:rPr>
          <w:sz w:val="22"/>
        </w:rPr>
        <w:t>In addition, the refund mechanism provided by ABX2 2 ostensibly to allow sellers to demonstrate that the commission-derived base price (established at $60/MWh) is less than the seller’s cost to produce power raises an Equal Protection concern.  The mechanism requires a refund claim that sets out the sellers’ “reasonable allowance for profit margins and maintenance and operational expenses.”  Each power marketer/generator has a unique capital structure so, based on their unique risk profiles and capital structures, taxpayers’ expectations of reasonable profits will differ.  Therefore, the proposed tax varies based upon the unique financial circumstances of each taxpayer and does not apply equally at all.</w:t>
      </w:r>
    </w:p>
    <w:p>
      <w:pPr>
        <w:pStyle w:val="LHFirmName"/>
        <w:rPr>
          <w:sz w:val="22"/>
        </w:rPr>
      </w:pPr>
      <w:r>
        <w:rPr>
          <w:sz w:val="22"/>
        </w:rPr>
      </w:r>
    </w:p>
    <w:p>
      <w:pPr>
        <w:pStyle w:val="Normal"/>
        <w:ind w:firstLine="720" w:end="0"/>
        <w:rPr/>
      </w:pPr>
      <w:r>
        <w:rPr>
          <w:sz w:val="22"/>
        </w:rPr>
        <w:t xml:space="preserve">This bill also violates the Commerce Clause as it will reduce supply and increase prices for all electricity consumers serviced by the Western grid, posing an unreasonable burden on interstate commerce.  This bill contemplates taxing an activity that is within the realm of interstate commerce. Current Commerce Clause analysis of state taxes on interstate commerce is based on a four-prong test first articulated in the 1977 U.S. Supreme Court case </w:t>
      </w:r>
      <w:r>
        <w:rPr>
          <w:i/>
          <w:sz w:val="22"/>
        </w:rPr>
        <w:t>Complete Auto Transit v. Brady</w:t>
      </w:r>
      <w:r>
        <w:rPr>
          <w:sz w:val="22"/>
        </w:rPr>
        <w:t>.</w:t>
      </w:r>
      <w:r>
        <w:rPr>
          <w:rStyle w:val="FootnoteCharacters"/>
          <w:rStyle w:val="FootnoteReference"/>
          <w:sz w:val="22"/>
        </w:rPr>
        <w:footnoteReference w:id="3"/>
      </w:r>
      <w:r>
        <w:rPr>
          <w:sz w:val="22"/>
        </w:rPr>
        <w:t xml:space="preserve">  The four prong test states that in order for a state tax on goods and/or services moving in interstate commerce to not offend the Commerce Clause it must (1) be applied to an activity with a substantial nexus within the taxing state; (2) </w:t>
        <w:tab/>
        <w:t xml:space="preserve">be fairly apportioned; (3) not discriminate against interstate commerce; and (4) be fairly related to the services provided by the state.  None of these four prongs are satisfied by the bill in its current form.  The bill purports to tax electricity sellers based upon an overly expansive definition of nexus which is in conflict with federal law.  The tax is not fairly proportioned and will be implemented more like individual ratemaking for individual sellers—when it is clear that neither the state nor the commission has regulatory authority over these sellers.  The tax clearly discriminates against interstate commerce by taxing electricity sellers within and without California while retaining all the tax receipts for the benefits of California only.  Finally, the tax is not related to state-provided services, which are essentially limited to the provision of transmission facilities.  </w:t>
      </w:r>
    </w:p>
    <w:p>
      <w:pPr>
        <w:pStyle w:val="Normal"/>
        <w:ind w:firstLine="720" w:end="0"/>
        <w:rPr>
          <w:sz w:val="22"/>
        </w:rPr>
      </w:pPr>
      <w:r>
        <w:rPr>
          <w:sz w:val="22"/>
        </w:rPr>
      </w:r>
    </w:p>
    <w:p>
      <w:pPr>
        <w:pStyle w:val="Normal"/>
        <w:ind w:firstLine="720" w:end="0"/>
        <w:rPr>
          <w:sz w:val="22"/>
        </w:rPr>
      </w:pPr>
      <w:r>
        <w:rPr>
          <w:sz w:val="22"/>
        </w:rPr>
        <w:t xml:space="preserve">More importantly, the bill burdens interstate commerce by creating financial incentives for electricity generators and sellers to produce less power subject to the California tax.  Given the intense demand for power on the Western U.S. grid, such a tax will harm electricity consumers in all the Western states by reducing supply in the face of overwhelming demand.  It is ironic in the extreme that at the same time state officials are castigating generators for allegedly restricting power plant output, this bill would give generators a pure tax-related justification for reducing output, in order to lower profits and thereby qualify for a lower tax bracket.  </w:t>
      </w:r>
    </w:p>
    <w:p>
      <w:pPr>
        <w:pStyle w:val="LHFirmName"/>
        <w:rPr>
          <w:sz w:val="22"/>
        </w:rPr>
      </w:pPr>
      <w:r>
        <w:rPr>
          <w:sz w:val="22"/>
        </w:rPr>
      </w:r>
    </w:p>
    <w:p>
      <w:pPr>
        <w:pStyle w:val="Normal"/>
        <w:ind w:firstLine="720" w:end="0"/>
        <w:rPr>
          <w:sz w:val="22"/>
        </w:rPr>
      </w:pPr>
      <w:r>
        <w:rPr>
          <w:sz w:val="22"/>
        </w:rPr>
        <w:t>To the extent that the bill subjects non-utility retail sellers of electricity to effective rate regulation by the CPUC, such regulation is beyond the jurisdiction of the CPUC.  The CPUC is empowered to regulate only electric corporations who have dedicated their facilities to public use as utilities.  Most sellers of electricity do not fall within this class of regulated entities.</w:t>
        <w:tab/>
      </w:r>
    </w:p>
    <w:p>
      <w:pPr>
        <w:pStyle w:val="FootnoteText"/>
        <w:rPr>
          <w:sz w:val="22"/>
        </w:rPr>
      </w:pPr>
      <w:r>
        <w:rPr>
          <w:sz w:val="22"/>
        </w:rPr>
      </w:r>
    </w:p>
    <w:p>
      <w:pPr>
        <w:pStyle w:val="BodyTextIndent3"/>
        <w:rPr/>
      </w:pPr>
      <w:r>
        <w:rPr/>
        <w:t xml:space="preserve">The bill discriminates against residents, consumers, ratepayers and electric generators in other states in violation of the Commerce Clause as well as the Equal Protection Amendment.  The taxes imposed by the provisions of the bill on retail sales of electricity are to be collected by the Franchise Tax Board.  However residents, consumers, ratepayers and generators in other states who receive none of the benefit of the tax will bear a substantial burden as a result of this tax in the form of reduced power supplies and increased costs.  </w:t>
      </w:r>
    </w:p>
    <w:p>
      <w:pPr>
        <w:pStyle w:val="FootnoteText"/>
        <w:rPr/>
      </w:pPr>
      <w:r>
        <w:rPr/>
      </w:r>
    </w:p>
    <w:p>
      <w:pPr>
        <w:pStyle w:val="Normal"/>
        <w:rPr>
          <w:sz w:val="22"/>
        </w:rPr>
      </w:pPr>
      <w:r>
        <w:rPr>
          <w:sz w:val="22"/>
        </w:rPr>
        <w:tab/>
        <w:t xml:space="preserve">Enron continues to support the efforts of the California Legislature to develop meaningful and effective responses to the energy crisis facing the State.  However, Enron is firmly convinced that the proposal for a windfall profits tax contained in ABX2 2 would be extremely counterproductive, and damaging to the best interests of electricity consumers and industry participants throughout all of California as well as the entire Western United States.  It does not increase supply, decrease demand, address the solvency of the IOUs or provide customer choice.  On the contrary, it will reduce supply and raise the price of electricity throughout the state and the entire Western U. S. electricity grid.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Cc:</w:t>
        <w:tab/>
        <w:t>The Honorable Ellen Corbett</w:t>
      </w:r>
    </w:p>
    <w:p>
      <w:pPr>
        <w:pStyle w:val="Normal"/>
        <w:rPr>
          <w:sz w:val="22"/>
        </w:rPr>
      </w:pPr>
      <w:r>
        <w:rPr>
          <w:sz w:val="22"/>
        </w:rPr>
      </w:r>
    </w:p>
    <w:sectPr>
      <w:headerReference w:type="default" r:id="rId2"/>
      <w:headerReference w:type="first" r:id="rId3"/>
      <w:footnotePr>
        <w:numFmt w:val="decimal"/>
      </w:footnotePr>
      <w:type w:val="nextPage"/>
      <w:pgSz w:w="12240" w:h="15840"/>
      <w:pgMar w:left="1440" w:right="1440" w:gutter="0" w:header="720" w:top="1152"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16 USC §§791a et seq.</w:t>
      </w:r>
    </w:p>
  </w:footnote>
  <w:footnote w:id="3">
    <w:p>
      <w:pPr>
        <w:pStyle w:val="FootnoteText"/>
        <w:rPr/>
      </w:pPr>
      <w:r>
        <w:rPr>
          <w:rStyle w:val="FootnoteCharacters"/>
        </w:rPr>
        <w:footnoteRef/>
      </w:r>
      <w:r>
        <w:rPr/>
        <w:t xml:space="preserve"> </w:t>
      </w:r>
      <w:r>
        <w:rPr>
          <w:u w:val="single"/>
        </w:rPr>
        <w:t>Complete Auto Transit, Inc. v. Brady</w:t>
      </w:r>
      <w:r>
        <w:rPr/>
        <w:t xml:space="preserve">, 430 U.S. 274 (1977).  </w:t>
      </w:r>
      <w:r>
        <w:rPr>
          <w:u w:val="single"/>
        </w:rPr>
        <w:t>Oklahoma Tax Commission v. Jefferson Lines Inc.</w:t>
      </w:r>
      <w:r>
        <w:rPr/>
        <w:t xml:space="preserve"> (1995) 514 U.S. 175, 183.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bWasHeadingSet" w:val="False"/>
    <w:docVar w:name="iTrailerType" w:val="2"/>
    <w:docVar w:name="zzmpFixedDOC_ID" w:val="2704/149/X24800-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firstLine="720" w:start="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2001-05-24T20:13:00Z</dcterms:created>
  <dc:creator>Charles H. Post, Jr.</dc:creator>
  <dc:description/>
  <dc:language>en-CA</dc:language>
  <cp:lastModifiedBy>Charles H. Post, Jr.</cp:lastModifiedBy>
  <cp:lastPrinted>2001-05-24T15:44:00Z</cp:lastPrinted>
  <dcterms:modified xsi:type="dcterms:W3CDTF">2001-05-24T20:13:00Z</dcterms:modified>
  <cp:revision>2</cp:revision>
  <dc:subject/>
  <dc:title/>
</cp:coreProperties>
</file>