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SCE COUNTER-CLAIM</w:t>
      </w:r>
    </w:p>
    <w:p>
      <w:pPr>
        <w:pStyle w:val="Normal"/>
        <w:jc w:val="center"/>
        <w:rPr>
          <w:b/>
        </w:rPr>
      </w:pPr>
      <w:r>
        <w:rPr>
          <w:b/>
        </w:rPr>
        <w:t>(usage under-reporting)</w:t>
      </w:r>
    </w:p>
    <w:p>
      <w:pPr>
        <w:pStyle w:val="Normal"/>
        <w:rPr>
          <w:b/>
        </w:rPr>
      </w:pPr>
      <w:r>
        <w:rPr>
          <w:b/>
        </w:rPr>
      </w:r>
    </w:p>
    <w:p>
      <w:pPr>
        <w:pStyle w:val="Normal"/>
        <w:rPr>
          <w:b/>
        </w:rPr>
      </w:pPr>
      <w:r>
        <w:rPr>
          <w:b/>
        </w:rPr>
        <w:t>Nature of the Claim</w:t>
      </w:r>
    </w:p>
    <w:p>
      <w:pPr>
        <w:pStyle w:val="Normal"/>
        <w:rPr>
          <w:b/>
        </w:rPr>
      </w:pPr>
      <w:r>
        <w:rPr>
          <w:b/>
        </w:rPr>
      </w:r>
    </w:p>
    <w:p>
      <w:pPr>
        <w:pStyle w:val="Normal"/>
        <w:jc w:val="both"/>
        <w:rPr/>
      </w:pPr>
      <w:r>
        <w:rPr/>
        <w:t xml:space="preserve">SCE is alleging, as a potential offset to Enron’s claim for unpaid PX credits, that EES and EEMC “underreported” to the ISO the amount of usage of their direct access customers between the period of June 2000 to “the present” (the time SCE filed counter-claim).  In other words, Enron’s DA customers were using more energy than Enron was reporting to the ISO, with the differential being made up by the market. </w:t>
      </w:r>
    </w:p>
    <w:p>
      <w:pPr>
        <w:pStyle w:val="Normal"/>
        <w:rPr/>
      </w:pPr>
      <w:r>
        <w:rPr/>
      </w:r>
    </w:p>
    <w:p>
      <w:pPr>
        <w:pStyle w:val="Normal"/>
        <w:jc w:val="both"/>
        <w:rPr/>
      </w:pPr>
      <w:r>
        <w:rPr/>
        <w:t xml:space="preserve">SCE’s claim is based on the difference between the Enron settlement date reported to the ISO and data extracted from SCE’s internal systems. </w:t>
      </w:r>
    </w:p>
    <w:p>
      <w:pPr>
        <w:pStyle w:val="Normal"/>
        <w:rPr/>
      </w:pPr>
      <w:r>
        <w:rPr/>
      </w:r>
    </w:p>
    <w:p>
      <w:pPr>
        <w:pStyle w:val="Normal"/>
        <w:jc w:val="both"/>
        <w:rPr/>
      </w:pPr>
      <w:r>
        <w:rPr/>
        <w:t>As SCE had paid a PX credit to Enron based on customers’ usage as recorded in its own internal systems, it claims that it overpaid Enron as Enron had not supplied all that energy (i.e., Enron only supplied that amount reported to the ISO).</w:t>
      </w:r>
    </w:p>
    <w:p>
      <w:pPr>
        <w:pStyle w:val="Normal"/>
        <w:rPr/>
      </w:pPr>
      <w:r>
        <w:rPr/>
      </w:r>
    </w:p>
    <w:p>
      <w:pPr>
        <w:pStyle w:val="Normal"/>
        <w:rPr>
          <w:b/>
        </w:rPr>
      </w:pPr>
      <w:r>
        <w:rPr>
          <w:b/>
        </w:rPr>
        <w:t>Amount of Counter-Claim</w:t>
      </w:r>
    </w:p>
    <w:p>
      <w:pPr>
        <w:pStyle w:val="Normal"/>
        <w:rPr>
          <w:b/>
        </w:rPr>
      </w:pPr>
      <w:r>
        <w:rPr>
          <w:b/>
        </w:rPr>
      </w:r>
    </w:p>
    <w:p>
      <w:pPr>
        <w:pStyle w:val="Normal"/>
        <w:jc w:val="both"/>
        <w:rPr/>
      </w:pPr>
      <w:r>
        <w:rPr/>
        <w:t xml:space="preserve">SCE is claiming that EEMC underreported at least 109,689 MWh and EES underreported at least 38,015 MWh. Using an average PX price for all EEMC and EES accounts for the given time period to approximate the level of PX credits impacted by the underreported amounts, SCE quantified the amount of the counterclaim as $15.3 million associated with the EEMC underreporting and $4.5 million associated with the underreporting of EES. </w:t>
      </w:r>
    </w:p>
    <w:p>
      <w:pPr>
        <w:pStyle w:val="Normal"/>
        <w:jc w:val="both"/>
        <w:rPr/>
      </w:pPr>
      <w:r>
        <w:rPr/>
      </w:r>
    </w:p>
    <w:p>
      <w:pPr>
        <w:pStyle w:val="Normal"/>
        <w:jc w:val="both"/>
        <w:rPr>
          <w:b/>
        </w:rPr>
      </w:pPr>
      <w:r>
        <w:rPr>
          <w:b/>
        </w:rPr>
        <w:t>Enron’s Position  (stated in a data response to SCE)</w:t>
      </w:r>
    </w:p>
    <w:p>
      <w:pPr>
        <w:pStyle w:val="Normal"/>
        <w:jc w:val="both"/>
        <w:rPr>
          <w:b/>
        </w:rPr>
      </w:pPr>
      <w:r>
        <w:rPr>
          <w:b/>
        </w:rPr>
      </w:r>
    </w:p>
    <w:p>
      <w:pPr>
        <w:pStyle w:val="Normal"/>
        <w:jc w:val="both"/>
        <w:rPr/>
      </w:pPr>
      <w:r>
        <w:rPr/>
        <w:t>“</w:t>
      </w:r>
      <w:r>
        <w:rPr/>
        <w:t xml:space="preserve">In certain months through March 2001, it has been determined that EEMC and EES under-reported to the ISO the load used by its Direct Access customers.  This under-reporting has been reconciled with the ISO, with EEMC and EES paying the ISO for any and all amounts determined to be owned and billed as result of such under-scheduling.” </w:t>
      </w:r>
    </w:p>
    <w:p>
      <w:pPr>
        <w:pStyle w:val="Normal"/>
        <w:jc w:val="both"/>
        <w:rPr>
          <w:b/>
        </w:rPr>
      </w:pPr>
      <w:r>
        <w:rPr/>
        <w:t xml:space="preserve">    </w:t>
      </w:r>
    </w:p>
    <w:p>
      <w:pPr>
        <w:pStyle w:val="Normal"/>
        <w:rPr>
          <w:b/>
        </w:rPr>
      </w:pPr>
      <w:r>
        <w:rPr>
          <w:b/>
        </w:rPr>
        <w:t>Nature of Problem</w:t>
      </w:r>
    </w:p>
    <w:p>
      <w:pPr>
        <w:pStyle w:val="Normal"/>
        <w:rPr>
          <w:b/>
        </w:rPr>
      </w:pPr>
      <w:r>
        <w:rPr>
          <w:b/>
        </w:rPr>
      </w:r>
    </w:p>
    <w:p>
      <w:pPr>
        <w:pStyle w:val="Normal"/>
        <w:jc w:val="both"/>
        <w:rPr/>
      </w:pPr>
      <w:r>
        <w:rPr/>
        <w:t>The background material on this issue (obtained mostly from SCE as responses to data requests) indicates that there has been an ongoing correspondence between SCE, Enron and CSC on this issue of underreporting.  The main contact person at Enron for this underreporting issue seems to be George Phillips. While it appears that the correspondence with respect to EES underreporting did not commence until December 2000, such started in October with respect to EEMC underreporting.</w:t>
      </w:r>
    </w:p>
    <w:p>
      <w:pPr>
        <w:pStyle w:val="Normal"/>
        <w:jc w:val="both"/>
        <w:rPr/>
      </w:pPr>
      <w:r>
        <w:rPr/>
      </w:r>
    </w:p>
    <w:p>
      <w:pPr>
        <w:pStyle w:val="Normal"/>
        <w:jc w:val="both"/>
        <w:rPr/>
      </w:pPr>
      <w:r>
        <w:rPr/>
        <w:t>With respect to EEMC, it appears that part of the underreporting problem resulted from “dropping” 112 accounts upon the conversion of these accounts from PG&amp;E Energy Services’ settlement system to EEMC’s.  It is not clear whether these 112 accounts are the cause of the entire underreported amounts for EEMC.   The inadvertent dropping of these accounts appears to have occurred as a part of changes in the EES/EEMC settlement system made last summer.  It is not clear whether the changes in the settlement system were the cause of the EES underreporting as well.</w:t>
      </w:r>
    </w:p>
    <w:p>
      <w:pPr>
        <w:pStyle w:val="Normal"/>
        <w:jc w:val="both"/>
        <w:rPr/>
      </w:pPr>
      <w:r>
        <w:rPr/>
      </w:r>
    </w:p>
    <w:p>
      <w:pPr>
        <w:pStyle w:val="Normal"/>
        <w:jc w:val="both"/>
        <w:rPr>
          <w:b/>
        </w:rPr>
      </w:pPr>
      <w:r>
        <w:rPr>
          <w:b/>
        </w:rPr>
        <w:t>Information Needed</w:t>
      </w:r>
    </w:p>
    <w:p>
      <w:pPr>
        <w:pStyle w:val="Normal"/>
        <w:jc w:val="both"/>
        <w:rPr>
          <w:b/>
        </w:rPr>
      </w:pPr>
      <w:r>
        <w:rPr>
          <w:b/>
        </w:rPr>
      </w:r>
    </w:p>
    <w:p>
      <w:pPr>
        <w:pStyle w:val="Normal"/>
        <w:jc w:val="both"/>
        <w:rPr/>
      </w:pPr>
      <w:r>
        <w:rPr/>
        <w:t>Additional information needed to determine the validity of SCE’s claim:</w:t>
      </w:r>
    </w:p>
    <w:p>
      <w:pPr>
        <w:pStyle w:val="Normal"/>
        <w:jc w:val="both"/>
        <w:rPr/>
      </w:pPr>
      <w:r>
        <w:rPr/>
      </w:r>
    </w:p>
    <w:p>
      <w:pPr>
        <w:pStyle w:val="Normal"/>
        <w:ind w:hanging="720" w:start="1440" w:end="0"/>
        <w:jc w:val="both"/>
        <w:rPr/>
      </w:pPr>
      <w:r>
        <w:rPr>
          <w:rFonts w:eastAsia="Symbol" w:cs="Symbol" w:ascii="Symbol" w:hAnsi="Symbol"/>
        </w:rPr>
        <w:sym w:font="Symbol" w:char="f0b7"/>
      </w:r>
      <w:r>
        <w:rPr/>
        <w:tab/>
        <w:t>Exactly what changes were being made to the EES/EEMC settlement system last summer?</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 xml:space="preserve">Were these changes the sole cause of the underreporting?  </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Who recognized the problem first (SCE? Enron? ISO?)</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What process did Enron undertake with the ISO to reconcile the irregularities in reporting?</w:t>
      </w:r>
    </w:p>
    <w:p>
      <w:pPr>
        <w:pStyle w:val="Normal"/>
        <w:ind w:hanging="720" w:start="1440" w:end="0"/>
        <w:jc w:val="both"/>
        <w:rPr/>
      </w:pPr>
      <w:r>
        <w:rPr/>
      </w:r>
    </w:p>
    <w:p>
      <w:pPr>
        <w:pStyle w:val="Normal"/>
        <w:ind w:hanging="720" w:start="1440" w:end="0"/>
        <w:jc w:val="both"/>
        <w:rPr/>
      </w:pPr>
      <w:r>
        <w:rPr>
          <w:rFonts w:eastAsia="Symbol" w:cs="Symbol" w:ascii="Symbol" w:hAnsi="Symbol"/>
        </w:rPr>
        <w:sym w:font="Symbol" w:char="f0b7"/>
      </w:r>
      <w:r>
        <w:rPr/>
        <w:tab/>
        <w:t xml:space="preserve">What amounts did Enron pay to the ISO to reconcile the irregularities in the reporting (based on what level of under-reporting)?   </w:t>
      </w:r>
    </w:p>
    <w:p>
      <w:pPr>
        <w:pStyle w:val="Normal"/>
        <w:jc w:val="both"/>
        <w:rPr/>
      </w:pPr>
      <w:r>
        <w:rPr>
          <w:b/>
        </w:rPr>
        <w:t xml:space="preserve"> </w:t>
      </w:r>
      <w:r>
        <w:rPr/>
        <w:t xml:space="preserve">   </w:t>
      </w:r>
    </w:p>
    <w:p>
      <w:pPr>
        <w:pStyle w:val="Normal"/>
        <w:spacing w:lineRule="exact" w:line="200" w:before="240" w:after="0"/>
        <w:rPr/>
      </w:pPr>
      <w:r>
        <w:rPr>
          <w:rStyle w:val="zzmpTrailerItem"/>
        </w:rPr>
        <w:t>2704/009/X24509-1</w:t>
      </w:r>
      <w:r>
        <w:rPr/>
        <w:t xml:space="preserve"> </w:t>
      </w:r>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450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2001-05-14T15:57:00Z</dcterms:created>
  <dc:creator>JMB</dc:creator>
  <dc:description/>
  <dc:language>en-CA</dc:language>
  <cp:lastModifiedBy>JMB</cp:lastModifiedBy>
  <dcterms:modified xsi:type="dcterms:W3CDTF">2001-05-14T15:57:00Z</dcterms:modified>
  <cp:revision>2</cp:revision>
  <dc:subject/>
  <dc:title/>
</cp:coreProperties>
</file>