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ENERGY SERVICES, INC.</w:t>
      </w:r>
    </w:p>
    <w:p>
      <w:pPr>
        <w:pStyle w:val="Normal"/>
        <w:jc w:val="center"/>
        <w:rPr>
          <w:b/>
        </w:rPr>
      </w:pPr>
      <w:r>
        <w:rPr>
          <w:b/>
        </w:rPr>
        <w:t>ON PROPOSED AND ALTERNATE DECISIONS</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May 10,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PROPOSED AND ALTERNATE DECISIONS</w:t>
      </w:r>
    </w:p>
    <w:p>
      <w:pPr>
        <w:pStyle w:val="Normal"/>
        <w:jc w:val="center"/>
        <w:rPr>
          <w:b/>
        </w:rPr>
      </w:pPr>
      <w:r>
        <w:rPr>
          <w:b/>
        </w:rPr>
      </w:r>
    </w:p>
    <w:p>
      <w:pPr>
        <w:pStyle w:val="Normal"/>
        <w:spacing w:lineRule="auto" w:line="480"/>
        <w:jc w:val="both"/>
        <w:rPr/>
      </w:pPr>
      <w:r>
        <w:rPr>
          <w:b/>
        </w:rPr>
        <w:tab/>
      </w:r>
      <w:r>
        <w:rPr/>
        <w:t>In accord with Rule 77 of the Commission’s Rules of Practice and Procedure, Enron Energy Services, Inc. (“Enron”) comments on the Proposed Decision of ALJ Walwyn and the Alternate Proposed Decision of Commissioner Lynch issued on May 9, 2001 in the above referenced proceeding.  Given the extreme time constraints under which both the parties to this proceeding and the Commission are operating in order to have a comprehensive decision issued by May 14, 2001, Enron’s comments are limited in nature, addressing only a few narrow aspects of the Alternate and Proposed Decisions.</w:t>
      </w:r>
    </w:p>
    <w:p>
      <w:pPr>
        <w:pStyle w:val="Normal"/>
        <w:spacing w:lineRule="auto" w:line="480"/>
        <w:jc w:val="center"/>
        <w:rPr>
          <w:b/>
        </w:rPr>
      </w:pPr>
      <w:r>
        <w:rPr>
          <w:b/>
        </w:rPr>
        <w:t>COMMENTS</w:t>
      </w:r>
    </w:p>
    <w:p>
      <w:pPr>
        <w:pStyle w:val="Normal"/>
        <w:spacing w:lineRule="auto" w:line="480"/>
        <w:jc w:val="both"/>
        <w:rPr>
          <w:b/>
        </w:rPr>
      </w:pPr>
      <w:r>
        <w:rPr>
          <w:b/>
        </w:rPr>
        <w:t>A.</w:t>
        <w:tab/>
        <w:t>Revenue Requirement Shortfalls</w:t>
      </w:r>
    </w:p>
    <w:p>
      <w:pPr>
        <w:pStyle w:val="Normal"/>
        <w:spacing w:lineRule="auto" w:line="480"/>
        <w:jc w:val="both"/>
        <w:rPr>
          <w:b/>
        </w:rPr>
      </w:pPr>
      <w:r>
        <w:rPr>
          <w:b/>
        </w:rPr>
        <w:tab/>
        <w:t>1.</w:t>
        <w:tab/>
        <w:t>Shortfall from the 130% of Baseline Exemption</w:t>
      </w:r>
    </w:p>
    <w:p>
      <w:pPr>
        <w:pStyle w:val="Normal"/>
        <w:spacing w:lineRule="auto" w:line="480"/>
        <w:jc w:val="both"/>
        <w:rPr/>
      </w:pPr>
      <w:r>
        <w:rPr>
          <w:b/>
        </w:rPr>
        <w:tab/>
      </w:r>
      <w:r>
        <w:rPr/>
        <w:t>Both the Alternate and the Proposed Decisions would allocate the revenue requirement shortfall, which results from the rate increase exemption provided to residential customers using 130% or less of their baseline, to all customers.  While the Alternate and Proposed decisions differ in the methodology to be used to effect this allocation,</w:t>
      </w:r>
      <w:r>
        <w:rPr>
          <w:rStyle w:val="FootnoteCharacters"/>
          <w:rStyle w:val="FootnoteReference"/>
        </w:rPr>
        <w:footnoteReference w:id="2"/>
      </w:r>
      <w:r>
        <w:rPr/>
        <w:t xml:space="preserve"> both forms of the decision would take a revenue shortfall resulting from the residential class and assign a portion of that shortfall outside of the class. Such cross-subsidization is inappropriate and undermines certain of the Commission’s stated objectives in this proceeding.  As stated in the Alternate Decision, it is the Commission’s intent to “pursue a fundamentally fair allocation of the costs of the energy consumed by customers of the utilities.”  There is nothing “fundamentally fair” about allocating to commercial and industrials customers costs of energy consumed by residential customers, especially under the current circumstances in which commercial and industrial customers will already be financially challenged by the impending rate increases.   The Commission must maintain the revenue shortfall resulting from the residential exemption within the residential customer class.</w:t>
      </w:r>
      <w:r>
        <w:rPr>
          <w:rStyle w:val="FootnoteCharacters"/>
          <w:rStyle w:val="FootnoteReference"/>
        </w:rPr>
        <w:footnoteReference w:id="3"/>
      </w:r>
      <w:r>
        <w:rPr/>
        <w:t xml:space="preserve"> </w:t>
      </w:r>
    </w:p>
    <w:p>
      <w:pPr>
        <w:pStyle w:val="Normal"/>
        <w:spacing w:lineRule="auto" w:line="480"/>
        <w:jc w:val="both"/>
        <w:rPr/>
      </w:pPr>
      <w:r>
        <w:rPr/>
        <w:t xml:space="preserve">   </w:t>
      </w:r>
      <w:r>
        <w:rPr>
          <w:b/>
        </w:rPr>
        <w:tab/>
        <w:t>2.</w:t>
        <w:tab/>
        <w:t>Collection of March to June Shortfall</w:t>
      </w:r>
    </w:p>
    <w:p>
      <w:pPr>
        <w:pStyle w:val="Normal"/>
        <w:spacing w:lineRule="auto" w:line="480"/>
        <w:jc w:val="both"/>
        <w:rPr/>
      </w:pPr>
      <w:r>
        <w:rPr>
          <w:b/>
        </w:rPr>
        <w:tab/>
      </w:r>
      <w:r>
        <w:rPr/>
        <w:t xml:space="preserve">The Alternate Decision (and the PD) state that the revenue associated with applying the three cent kWh surcharge to all non-exempt energy sales from March 27, 2001 to the date on which the utilities begin collecting the surcharge (“billing lag shortfall”) should be added to the overall revenue requirement which is to be allocated among customer classes.  The UDCs are then directed to amortize this billing lag shortfall over a 12-month period.  Enron supports the use of the 12-month amortization period, but submits that additional clarification is needed with respect to the addition of this “shortfall” revenue to the UDCs’ revenue requirement. </w:t>
      </w:r>
    </w:p>
    <w:p>
      <w:pPr>
        <w:pStyle w:val="Normal"/>
        <w:spacing w:lineRule="auto" w:line="480"/>
        <w:jc w:val="both"/>
        <w:rPr/>
      </w:pPr>
      <w:r>
        <w:rPr/>
        <w:tab/>
        <w:t>Specifically, the UDCs should be required, as part of their compliance advice filing to state the amount of the billing lag shortfall, and, using the 12 month amortization period and the revenue allocation adopted by the Commission in this proceeding, the amount which will be added  (on a per kWh basis) to the rates of each customer class for the next year.  Equally important, the UDCs should be required, upon the cessation of the 12-month period, to file an advice filing, removing this billing lag shortfall component from rates.</w:t>
      </w:r>
    </w:p>
    <w:p>
      <w:pPr>
        <w:pStyle w:val="Normal"/>
        <w:spacing w:lineRule="auto" w:line="480"/>
        <w:jc w:val="both"/>
        <w:rPr>
          <w:b/>
        </w:rPr>
      </w:pPr>
      <w:r>
        <w:rPr>
          <w:b/>
        </w:rPr>
        <w:t>B.</w:t>
        <w:tab/>
        <w:t>Bill Presentation</w:t>
      </w:r>
    </w:p>
    <w:p>
      <w:pPr>
        <w:pStyle w:val="Normal"/>
        <w:spacing w:lineRule="auto" w:line="480"/>
        <w:jc w:val="both"/>
        <w:rPr/>
      </w:pPr>
      <w:r>
        <w:rPr>
          <w:b/>
        </w:rPr>
        <w:tab/>
      </w:r>
      <w:r>
        <w:rPr/>
        <w:t>Both the Alternate and Proposed Decisions state the Commission’s intent to have the bill presented to customers be in a format that “communicates the direct correlation between electricity supply, price usage and consumption patterns in order to promote price responsive behavior.”  The Alternate and Proposed Decisions state the belief that consumers are most likely to respond to price signals when the bill provides sufficient detail allowing consumers to clearly identify and understand the different pricing structures based on usage levels.  For example, for TOU customers, this means that bill should categorize the new rates under off-peak, mid peak and off peak classifications.  Enron supports the Commission’s goal of using the billing mechanism as a means to convey to customers the message that by reducing consumption, they can assume control over the impacts of the rate increase.  Enron submits, however, that one additional piece of information is needed on the bill to achieve that result – the amount the customer is paying each month as a result of the rate increase being imposed through the Commission’s order. This information is a visible price signal to motivate the desired response of conservation (</w:t>
      </w:r>
      <w:r>
        <w:rPr>
          <w:i/>
        </w:rPr>
        <w:t>i.e.,</w:t>
      </w:r>
      <w:r>
        <w:rPr/>
        <w:t xml:space="preserve"> customers will be incented to reduce usage to eliminate the cost increase).</w:t>
      </w:r>
    </w:p>
    <w:p>
      <w:pPr>
        <w:pStyle w:val="Normal"/>
        <w:spacing w:lineRule="auto" w:line="480"/>
        <w:jc w:val="both"/>
        <w:rPr>
          <w:b/>
        </w:rPr>
      </w:pPr>
      <w:r>
        <w:rPr>
          <w:b/>
        </w:rPr>
        <w:t xml:space="preserve"> </w:t>
      </w:r>
      <w:r>
        <w:rPr>
          <w:b/>
        </w:rPr>
        <w:t>C.</w:t>
        <w:tab/>
        <w:t>Real Time Pricing</w:t>
      </w:r>
    </w:p>
    <w:p>
      <w:pPr>
        <w:pStyle w:val="Normal"/>
        <w:spacing w:lineRule="auto" w:line="480"/>
        <w:jc w:val="both"/>
        <w:rPr/>
      </w:pPr>
      <w:r>
        <w:rPr/>
        <w:tab/>
        <w:t xml:space="preserve">Both the Alternate and the Proposed Decisions recognize that “real time pricing has tremendous potential for reducing the overall cost of supplying energy.”  In this context, both the Alternate and the Proposed Decisions state the Commission’s intent to “promptly develop a real time pricing structure to capture these benefits for California consumers.”  Enron appreciates the Commission’s insights and eagerness to start the process of bringing the benefits of real time pricing to Californians, however, Enron also believes that the Commission has not gone far enough at this time with respect to the proposal Enron presented in this proceeding.   In this respect, the Commission has “grouped” the proposal advanced by Enron in this proceeding with the real time pricing proposals advanced by the California Energy Commission and Commission witness Borenstein.  Enron would point out, however, that certain of the “technical impediments” cited by the Commission for not putting a real-time pricing structure into place this summer do not exist with respect to the Enron proposal.  Specifically, neither interval meters nor the posting of real time prices by the ISO for the day ahead or spot market are necessary to implement Enron’s proposal.  While UDC billing system constraints would need to be worked out, Enron believes that the system impediments to implementing Enron’s proposal that were cited by the UDCs in this proceeding could be readily reconciled.  Thus, Enron requests that the Commission consider its proposals as a “stepping stone” to true real time pricing – one which could be implemented prior to the end of the summer season.  </w:t>
      </w:r>
    </w:p>
    <w:p>
      <w:pPr>
        <w:pStyle w:val="Normal"/>
        <w:spacing w:lineRule="auto" w:line="480"/>
        <w:jc w:val="both"/>
        <w:rPr/>
      </w:pPr>
      <w:r>
        <w:rPr/>
        <w:t xml:space="preserve">      </w:t>
      </w:r>
    </w:p>
    <w:p>
      <w:pPr>
        <w:pStyle w:val="Normal"/>
        <w:spacing w:lineRule="auto" w:line="480"/>
        <w:ind w:firstLine="720" w:start="3600" w:end="0"/>
        <w:jc w:val="both"/>
        <w:rPr/>
      </w:pP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May 10, 2001</w:t>
      </w:r>
    </w:p>
    <w:p>
      <w:pPr>
        <w:pStyle w:val="Normal"/>
        <w:spacing w:lineRule="exact" w:line="200" w:before="240" w:after="0"/>
        <w:rPr>
          <w:rStyle w:val="zzmpTrailerItem"/>
        </w:rPr>
      </w:pPr>
      <w:r>
        <w:rPr/>
      </w:r>
    </w:p>
    <w:p>
      <w:pPr>
        <w:pStyle w:val="Heading"/>
        <w:rPr/>
      </w:pPr>
      <w:r>
        <w:rPr/>
        <w:t>CERTIFICATE OF SERVICE</w:t>
      </w:r>
    </w:p>
    <w:p>
      <w:pPr>
        <w:pStyle w:val="Normal"/>
        <w:rPr/>
      </w:pPr>
      <w:r>
        <w:rPr/>
      </w:r>
    </w:p>
    <w:p>
      <w:pPr>
        <w:pStyle w:val="Normal"/>
        <w:rPr/>
      </w:pPr>
      <w:r>
        <w:rPr/>
      </w:r>
    </w:p>
    <w:p>
      <w:pPr>
        <w:pStyle w:val="Normal"/>
        <w:rPr/>
      </w:pPr>
      <w:r>
        <w:rPr/>
      </w:r>
    </w:p>
    <w:p>
      <w:pPr>
        <w:pStyle w:val="BodyText2"/>
        <w:spacing w:lineRule="auto" w:line="480"/>
        <w:rPr/>
      </w:pPr>
      <w:r>
        <w:rPr/>
        <w:t xml:space="preserve">I hereby certify that I have this day electronically served a copy of the foregoing "Comments of Enron Energy Services, Inc. on Proposed Decision and Alternate Decisions” upon each person designated on the official Service List compiled in this proceeding, A. 00-11-038, </w:t>
      </w:r>
      <w:r>
        <w:rPr>
          <w:i/>
        </w:rPr>
        <w:t>et al</w:t>
      </w:r>
      <w:r>
        <w:rPr/>
        <w:t xml:space="preserve">.   </w:t>
      </w:r>
    </w:p>
    <w:p>
      <w:pPr>
        <w:pStyle w:val="BodyText2"/>
        <w:rPr/>
      </w:pPr>
      <w:r>
        <w:rPr/>
      </w:r>
    </w:p>
    <w:p>
      <w:pPr>
        <w:pStyle w:val="Normal"/>
        <w:rPr/>
      </w:pPr>
      <w:r>
        <w:rPr/>
      </w:r>
    </w:p>
    <w:p>
      <w:pPr>
        <w:pStyle w:val="Normal"/>
        <w:rPr/>
      </w:pPr>
      <w:r>
        <w:rPr/>
        <w:tab/>
        <w:t>Dated at San Francisco, CA this 10</w:t>
      </w:r>
      <w:r>
        <w:rPr>
          <w:vertAlign w:val="superscript"/>
        </w:rPr>
        <w:t>th</w:t>
      </w:r>
      <w:r>
        <w:rPr/>
        <w:t xml:space="preserve"> day of May,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_____________________________</w:t>
      </w:r>
    </w:p>
    <w:p>
      <w:pPr>
        <w:pStyle w:val="Normal"/>
        <w:rPr/>
      </w:pPr>
      <w:r>
        <w:rPr/>
        <w:tab/>
        <w:tab/>
        <w:tab/>
        <w:tab/>
        <w:tab/>
        <w:tab/>
        <w:t xml:space="preserve">                Jeanne M. Bennett</w:t>
      </w:r>
    </w:p>
    <w:p>
      <w:pPr>
        <w:pStyle w:val="Normal"/>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pPr>
      <w:r>
        <w:rPr>
          <w:rStyle w:val="zzmpTrailerItem"/>
        </w:rPr>
        <w:t>2704/147/X24341-1</w:t>
      </w:r>
    </w:p>
    <w:p>
      <w:pPr>
        <w:pStyle w:val="Normal"/>
        <w:spacing w:lineRule="exact" w:line="200" w:before="240" w:after="0"/>
        <w:rPr>
          <w:rStyle w:val="zzmpTrailerItem"/>
        </w:rPr>
      </w:pPr>
      <w:r>
        <w:rPr/>
      </w:r>
    </w:p>
    <w:p>
      <w:pPr>
        <w:pStyle w:val="Normal"/>
        <w:spacing w:lineRule="exact" w:line="200" w:before="240" w:after="0"/>
        <w:rPr/>
      </w:pP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The Alternate Decision would reallocate the shortfall equally to each of the three classes (residential, commercial and industrial) while the Proposed Decision would reallocate the shortfall across all sales other than residential sales below 130% of baseline.</w:t>
      </w:r>
    </w:p>
  </w:footnote>
  <w:footnote w:id="3">
    <w:p>
      <w:pPr>
        <w:pStyle w:val="FootnoteText"/>
        <w:spacing w:before="0" w:after="240"/>
        <w:ind w:hanging="720" w:start="720" w:end="0"/>
        <w:jc w:val="both"/>
        <w:rPr/>
      </w:pPr>
      <w:r>
        <w:rPr>
          <w:rStyle w:val="FootnoteCharacters"/>
        </w:rPr>
        <w:footnoteRef/>
      </w:r>
      <w:r>
        <w:rPr/>
        <w:t xml:space="preserve"> </w:t>
      </w:r>
      <w:r>
        <w:rPr/>
        <w:tab/>
        <w:t xml:space="preserve">Enron would note that should the Commission determine to reallocate the residential revenue shortfall among all customer classes, then the methodology set forth in the Alternate decision effects this in a more equitable manner in that it works to retain more of that shortfall for collection within the residential class.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434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u w:val="single"/>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2001-05-10T21:16:00Z</dcterms:created>
  <dc:creator>JMB</dc:creator>
  <dc:description/>
  <dc:language>en-CA</dc:language>
  <cp:lastModifiedBy>JMB</cp:lastModifiedBy>
  <dcterms:modified xsi:type="dcterms:W3CDTF">2001-05-10T21:16:00Z</dcterms:modified>
  <cp:revision>2</cp:revision>
  <dc:subject/>
  <dc:title/>
</cp:coreProperties>
</file>