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May 1, 2001</w:t>
            </w:r>
          </w:p>
        </w:tc>
        <w:tc>
          <w:tcPr>
            <w:tcW w:w="3960" w:type="dxa"/>
            <w:tcBorders/>
          </w:tcPr>
          <w:p>
            <w:pPr>
              <w:pStyle w:val="Letterhead"/>
              <w:snapToGrid w:val="false"/>
              <w:ind w:start="1440" w:end="0"/>
              <w:rPr/>
            </w:pPr>
            <w:r>
              <w:rPr/>
            </w:r>
          </w:p>
        </w:tc>
      </w:tr>
    </w:tbl>
    <w:p>
      <w:pPr>
        <w:pStyle w:val="Address"/>
        <w:rPr/>
      </w:pPr>
      <w:r>
        <w:rPr/>
      </w:r>
    </w:p>
    <w:p>
      <w:pPr>
        <w:pStyle w:val="Address"/>
        <w:rPr/>
      </w:pPr>
      <w:r>
        <w:rPr/>
        <w:t>Kevin Coughlin</w:t>
      </w:r>
    </w:p>
    <w:p>
      <w:pPr>
        <w:pStyle w:val="Address"/>
        <w:rPr/>
      </w:pPr>
      <w:r>
        <w:rPr/>
        <w:t>California Public Utilities Commission</w:t>
      </w:r>
    </w:p>
    <w:p>
      <w:pPr>
        <w:pStyle w:val="Address"/>
        <w:rPr/>
      </w:pPr>
      <w:r>
        <w:rPr/>
        <w:t>Energy Divsion</w:t>
      </w:r>
    </w:p>
    <w:p>
      <w:pPr>
        <w:pStyle w:val="Address"/>
        <w:rPr/>
      </w:pPr>
      <w:r>
        <w:rPr/>
        <w:t>505 Van Ness Ave., Room 4002</w:t>
      </w:r>
    </w:p>
    <w:p>
      <w:pPr>
        <w:pStyle w:val="Address"/>
        <w:rPr/>
      </w:pPr>
      <w:r>
        <w:rPr/>
        <w:t>San Francisco, CA  94120</w:t>
      </w:r>
    </w:p>
    <w:p>
      <w:pPr>
        <w:pStyle w:val="Address"/>
        <w:rPr/>
      </w:pPr>
      <w:r>
        <w:rPr/>
      </w:r>
    </w:p>
    <w:p>
      <w:pPr>
        <w:pStyle w:val="ReLine"/>
        <w:ind w:start="2160" w:end="115"/>
        <w:rPr>
          <w:b/>
        </w:rPr>
      </w:pPr>
      <w:r>
        <w:rPr>
          <w:b/>
        </w:rPr>
        <w:t>Re:</w:t>
        <w:tab/>
      </w:r>
      <w:r>
        <w:rPr>
          <w:b/>
          <w:u w:val="single"/>
        </w:rPr>
        <w:t>Pacific Gas and Electric Company Advice 2101-E</w:t>
      </w:r>
    </w:p>
    <w:p>
      <w:pPr>
        <w:pStyle w:val="Salutation"/>
        <w:rPr/>
      </w:pPr>
      <w:r>
        <w:rPr/>
        <w:t>Dear Mr. Coughlin:</w:t>
      </w:r>
    </w:p>
    <w:p>
      <w:pPr>
        <w:pStyle w:val="BodyText"/>
        <w:ind w:firstLine="720" w:end="0"/>
        <w:jc w:val="both"/>
        <w:rPr/>
      </w:pPr>
      <w:r>
        <w:rPr/>
        <w:t>On April 11, 2001, Pacific Gas and Electric Company (“PG&amp;E”) submitted the above referenced advice filing.  Therein, PG&amp;E proposed a new electric rate schedule, “Schedule E-GEN – Generation Rate Component Unbundling.”  The new schedule establishes a two-part generation charge: (1) charges for power provided to PG&amp;E customers by the California Department of Water Resources (“CDWR”); and (2) other non-CDWR generation (which consist of the costs of qualifying facilities and Purchased Power Agreements, the costs of PG&amp;E’s remaining generation facilities, as well as charges received from the Independent System Operator for real time purchases of electricity).  The applicability of the new rate schedule is stated as “all customers taking electric service from PG&amp;E.”    Although not directly stated in the advice filing, it appears that that PG&amp;E intends Schedule E-GEN as a replacement for Schedule PX.</w:t>
      </w:r>
      <w:r>
        <w:rPr>
          <w:rStyle w:val="FootnoteCharacters"/>
          <w:rStyle w:val="FootnoteReference"/>
        </w:rPr>
        <w:footnoteReference w:id="2"/>
      </w:r>
      <w:r>
        <w:rPr/>
        <w:t xml:space="preserve">  Accordingly, should PG&amp;E’s advice filing be approved by the Commission, the terms of this rate schedule will determine the commodity credit afforded direct access customers.  It is on this aspect of PG&amp;E’s advice filing that Enron Energy Services, Inc. (“Enron”) focuses this protest.   </w:t>
      </w:r>
    </w:p>
    <w:p>
      <w:pPr>
        <w:pStyle w:val="BodyText"/>
        <w:ind w:firstLine="720" w:end="0"/>
        <w:jc w:val="both"/>
        <w:rPr/>
      </w:pPr>
      <w:r>
        <w:rPr/>
        <w:t>The changing nature of the California wholesale and retail markets, has served to bring the issue of the appropriate direct access credit to the fore in many proceedings.</w:t>
      </w:r>
      <w:r>
        <w:rPr>
          <w:rStyle w:val="FootnoteCharacters"/>
          <w:rStyle w:val="FootnoteReference"/>
        </w:rPr>
        <w:footnoteReference w:id="3"/>
      </w:r>
      <w:r>
        <w:rPr/>
        <w:t xml:space="preserve">  Unfortunately, the Commission has, as of this date, chosen not to address the credit in any comprehensive fashion.  Until, the Commission addresses the issue head on, in a comprehensive proceeding involving both UDCs still under the rate freeze, it should seek to preserve the </w:t>
      </w:r>
      <w:r>
        <w:rPr>
          <w:i/>
        </w:rPr>
        <w:t>status quo</w:t>
      </w:r>
      <w:r>
        <w:rPr/>
        <w:t>. With respect to the direct access credit, this means a proxy for the former PX credit – something that PG&amp;E’s proposed Schedule E-GEN charges would fail to do.</w:t>
      </w:r>
    </w:p>
    <w:p>
      <w:pPr>
        <w:pStyle w:val="BodyText"/>
        <w:ind w:firstLine="720" w:end="0"/>
        <w:jc w:val="both"/>
        <w:rPr/>
      </w:pPr>
      <w:r>
        <w:rPr/>
        <w:t>Accordingly, in lieu of proposal advanced by PG&amp;E, Enron submits that a market based index, such as the Dow Jones Electricity Index for NP15, should be used as a proxy for the overall cost of energy which the PG&amp;E is not incurring on behalf of direct access customers.  The daily index values could be appropriately averaged and applied to the direct access customer’s total usage.  Enron submits that the prices reflected in these Dow Jones NP 15 Indices are reflective of the current price of electricity in the California market, and thus more in line with the actual price of the power which PG&amp;E avoids by not purchasing power for direct access customers.</w:t>
      </w:r>
    </w:p>
    <w:p>
      <w:pPr>
        <w:pStyle w:val="BodyText"/>
        <w:ind w:firstLine="720" w:end="0"/>
        <w:jc w:val="both"/>
        <w:rPr/>
      </w:pPr>
      <w:r>
        <w:rPr/>
        <w:t>The Commission must recognize that, like other aspects of the market, direct access has been severely impacted by the events of the past eight months.  The direct access market must be given time to transition to a post rate freeze, “bottoms-up’ calculation of the UDCs’ bills, with no credit.  Given the fact that the Commission has not yet had the opportunity, with the benefit of a full record, to address the issue of direct access credit in a proceeding which encompasses all interrelated issues for both PG&amp;E and SCE, it should be hesitant to approve (even on an interim basis) a pricing mechanism which would gravely impact a subset of ratepayers of a single utility – direct access customers -- and inflict further distortion into the market.</w:t>
      </w:r>
      <w:r>
        <w:rPr>
          <w:rStyle w:val="FootnoteCharacters"/>
          <w:rStyle w:val="FootnoteReference"/>
        </w:rPr>
        <w:footnoteReference w:id="4"/>
      </w:r>
    </w:p>
    <w:p>
      <w:pPr>
        <w:pStyle w:val="BodyText"/>
        <w:ind w:firstLine="720" w:end="0"/>
        <w:jc w:val="both"/>
        <w:rPr/>
      </w:pPr>
      <w:r>
        <w:rPr/>
        <w:t xml:space="preserve">Moreover, whether the one-cent Energy Procurement surcharge adopted in Decision 01-01-018 and/or the three-cent per kWh surcharge approved in Decision 01-03-082 </w:t>
      </w:r>
      <w:r>
        <w:rPr>
          <w:rStyle w:val="FootnoteCharacters"/>
          <w:rStyle w:val="FootnoteReference"/>
        </w:rPr>
        <w:footnoteReference w:id="5"/>
      </w:r>
      <w:r>
        <w:rPr/>
        <w:t xml:space="preserve"> have been included within the Schedule E-GEN charges (and thus within the direct access credit) is not clear. Enron submits that, given the stated purpose of the revenue achieved through the surcharges, Direct Access customers should pay neither the one cent nor three cent surcharge (or get the amounts back through the credit).</w:t>
      </w:r>
    </w:p>
    <w:p>
      <w:pPr>
        <w:pStyle w:val="BodyText"/>
        <w:ind w:hanging="0" w:end="0"/>
        <w:jc w:val="both"/>
        <w:rPr/>
      </w:pPr>
      <w:r>
        <w:rPr/>
        <w:tab/>
        <w:t>Both of the surcharges were put in place to fund going forward energy purchases for bundled service customers. Indeed, the UDCs are precluded by Commission order from using the monies obtained from the surcharges for any other purpose.  Direct access customers do not receive energy from the UDC or DWR. They should not be compelled to pay three cent per kWh on a commodity that they are not purchasing – no principle of Commission ratemaking supports such a result.</w:t>
      </w:r>
      <w:r>
        <w:rPr>
          <w:rStyle w:val="FootnoteCharacters"/>
          <w:rStyle w:val="FootnoteReference"/>
        </w:rPr>
        <w:footnoteReference w:id="6"/>
      </w:r>
    </w:p>
    <w:p>
      <w:pPr>
        <w:pStyle w:val="BodyText"/>
        <w:ind w:firstLine="720" w:end="0"/>
        <w:jc w:val="both"/>
        <w:rPr/>
      </w:pPr>
      <w:r>
        <w:rPr/>
        <w:t xml:space="preserve">To this end, the Commission is currently, in A. 00-11-038, </w:t>
      </w:r>
      <w:r>
        <w:rPr>
          <w:i/>
        </w:rPr>
        <w:t>et al</w:t>
      </w:r>
      <w:r>
        <w:rPr/>
        <w:t>, establishing a record to ensure that rates to collect the revenue requirement created by the three cent per kWh surcharge are designed in a fair and equitable manner. One of the issues being addressed in that proceeding is the applicability of the surcharge to Direct Access customers. The Commission must allow that process to reach its conclusion. A final Commission decision in that proceeding is due to be issued on May 14, 2001.  Accordingly, any Commission resolution on PG&amp;E’s advice filing must await resolution of this issue in that proceeding.</w:t>
      </w:r>
    </w:p>
    <w:p>
      <w:pPr>
        <w:pStyle w:val="BodyText"/>
        <w:ind w:firstLine="720" w:end="0"/>
        <w:jc w:val="both"/>
        <w:rPr/>
      </w:pPr>
      <w:r>
        <w:rPr/>
        <w:t xml:space="preserve">  </w:t>
      </w:r>
      <w:r>
        <w:rPr/>
        <w:t xml:space="preserve">Finally, Enron would request that upon issuance of a resolution addressing PG&amp;E’s advice filing, that the Commission clarify that it is not reversing the provisions of Decision 99-06-058 which eliminated the direct access zero minimum bill.  The elimination of the zero minimum bill provision was the result of a Commission approved settlement agreement duly executed by PG&amp;, and should not be altered in the context of this advice letter filing.                          </w:t>
      </w:r>
    </w:p>
    <w:p>
      <w:pPr>
        <w:pStyle w:val="BodyText"/>
        <w:ind w:firstLine="720" w:end="0"/>
        <w:jc w:val="both"/>
        <w:rPr/>
      </w:pPr>
      <w:r>
        <w:rPr/>
        <w:t xml:space="preserve">For the reasons herein stated, Enron requests that PG&amp;E Advice Letter 2010-E be rejected.  In lieu thereof, the Commission should implement, on an interim basis (until the issues can be aired in a full proceeding applicable to both PG&amp;E and SCE), a direct access credit based on an appropriate market index, such as the Dow Jones Index. Moreover, the Commission should await resolution of the currently ongoing proceeding in A.00-11-038 with respect to the inclusion of the one-cent and three cent energy procurement surcharges from the direct access credit, applying the outcome of that proceeding to the PG&amp;E’s proposed direct access credit.         </w:t>
      </w:r>
    </w:p>
    <w:p>
      <w:pPr>
        <w:pStyle w:val="BodyText"/>
        <w:ind w:hanging="0" w:end="720"/>
        <w:jc w:val="both"/>
        <w:rPr/>
      </w:pPr>
      <w:r>
        <w:rPr/>
        <w:t xml:space="preserve"> </w:t>
      </w:r>
      <w:r>
        <w:rPr/>
        <w:tab/>
        <w:tab/>
        <w:tab/>
        <w:tab/>
        <w:tab/>
        <w:tab/>
        <w:tab/>
        <w:tab/>
      </w:r>
    </w:p>
    <w:p>
      <w:pPr>
        <w:pStyle w:val="BodyText"/>
        <w:ind w:firstLine="720" w:start="5040" w:end="720"/>
        <w:jc w:val="both"/>
        <w:rPr/>
      </w:pPr>
      <w:r>
        <w:rPr/>
        <w:t>Respectfully submitted,</w:t>
      </w:r>
    </w:p>
    <w:p>
      <w:pPr>
        <w:pStyle w:val="BodyText"/>
        <w:ind w:firstLine="720" w:start="5040" w:end="720"/>
        <w:jc w:val="both"/>
        <w:rPr/>
      </w:pPr>
      <w:r>
        <w:rPr/>
      </w:r>
    </w:p>
    <w:p>
      <w:pPr>
        <w:pStyle w:val="BodyText"/>
        <w:spacing w:before="0" w:after="0"/>
        <w:ind w:firstLine="720" w:start="5040" w:end="720"/>
        <w:jc w:val="both"/>
        <w:rPr/>
      </w:pPr>
      <w:r>
        <w:rPr/>
        <w:t>Jeanne M. Bennett</w:t>
      </w:r>
    </w:p>
    <w:p>
      <w:pPr>
        <w:pStyle w:val="BodyText"/>
        <w:spacing w:before="0" w:after="0"/>
        <w:ind w:firstLine="720" w:start="5040" w:end="720"/>
        <w:jc w:val="both"/>
        <w:rPr/>
      </w:pPr>
      <w:r>
        <w:rPr/>
      </w:r>
    </w:p>
    <w:p>
      <w:pPr>
        <w:pStyle w:val="BodyText"/>
        <w:ind w:hanging="0" w:start="5760" w:end="720"/>
        <w:jc w:val="both"/>
        <w:rPr/>
      </w:pPr>
      <w:r>
        <w:rPr/>
        <w:t>Attorney for Enron Energy Services, Inc.</w:t>
      </w:r>
    </w:p>
    <w:p>
      <w:pPr>
        <w:pStyle w:val="BodyText"/>
        <w:ind w:hanging="0" w:end="0"/>
        <w:jc w:val="both"/>
        <w:rPr/>
      </w:pPr>
      <w:r>
        <w:rPr/>
        <w:t>cc:  Le Guliasi, Director Regulatory Relations, PG&amp;E</w:t>
      </w:r>
    </w:p>
    <w:p>
      <w:pPr>
        <w:pStyle w:val="BodyText"/>
        <w:spacing w:before="0" w:after="240"/>
        <w:ind w:hanging="0" w:end="0"/>
        <w:jc w:val="both"/>
        <w:rPr/>
      </w:pPr>
      <w:r>
        <w:rPr/>
        <w:t xml:space="preserve">   </w:t>
      </w:r>
      <w:r>
        <w:rPr>
          <w:rStyle w:val="zzmpTrailerItem"/>
        </w:rPr>
        <w:t>2704/147/X24055-1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 xml:space="preserve">A. 00-11-038, et al. Transcript Reference, Vol. 24 (PG&amp;E-Coyne), p. 3265, lines 6-9 (April 25, 2001). </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 xml:space="preserve">Currently, the issue is before the Commission through (1) petitions to modify D. 97-10-087 (filed by Pacific Gas and Electric Company) and D. 98-06-058 (filed by SCE), which have yet to be acted on, (2) five complaint proceedings for non payment of the credit, which are currently stayed or deferred, as well as (3) through various positions taken in the UDCs’ Rate Stabilization Proceeding, A. 00-10-038, </w:t>
      </w:r>
      <w:r>
        <w:rPr>
          <w:i/>
        </w:rPr>
        <w:t>et al.</w:t>
      </w:r>
      <w:r>
        <w:rPr/>
        <w:t xml:space="preserve">  </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Enron would note that concurrent with this submission, it is filing a Motion to bring this issue before the Commission on an expedited basis.</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Advice Filing 1529-E, p. 2, ft note 1.</w:t>
      </w:r>
    </w:p>
  </w:footnote>
  <w:footnote w:id="6">
    <w:p>
      <w:pPr>
        <w:pStyle w:val="FootnoteText"/>
        <w:keepLines/>
        <w:spacing w:lineRule="exact" w:line="240" w:before="0" w:after="240"/>
        <w:ind w:hanging="720" w:start="720" w:end="0"/>
        <w:jc w:val="both"/>
        <w:rPr/>
      </w:pPr>
      <w:r>
        <w:rPr>
          <w:rStyle w:val="FootnoteCharacters"/>
        </w:rPr>
        <w:footnoteRef/>
      </w:r>
      <w:r>
        <w:rPr/>
        <w:t xml:space="preserve"> </w:t>
      </w:r>
      <w:r>
        <w:rPr/>
        <w:tab/>
        <w:t xml:space="preserve">Enron recognizes that, in Decision 01-01-018, the Commission applied the one-cent per kWh surcharge to direct access customers.  At that time, however, the surcharge was imposed on a temporary basis, subject to refund.  Circumstances have now changed. The one-cent surcharge has been made permanent, with relatively narrow refund potential.  This changed circumstance warrants reevaluating the application of the surcharge to direct access customers.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Kevin Coughlin</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505 Van Ness Ave&#10;San Francisoc0, CA  94120&#10;"/>
    <w:docVar w:name="txtAuthor" w:val="Jeanne M. Bennett"/>
    <w:docVar w:name="txtInitials" w:val="JMB"/>
    <w:docVar w:name="txtNames" w:val="Kevin Coughlin"/>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Pacific Gas and Electric Company Advice 2101-E"/>
    <w:docVar w:name="txtSalutation" w:val="Mr. Coughlin"/>
    <w:docVar w:name="txtTitle" w:val="Associate"/>
    <w:docVar w:name="zzmpFixed_MacPacVersion" w:val="97"/>
    <w:docVar w:name="zzmpFixedDOC_ID" w:val="2704/147/X2405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2001-04-30T16:25:00Z</dcterms:created>
  <dc:creator>JMB</dc:creator>
  <dc:description>Rev. March 13, 1998 10:46:44</dc:description>
  <dc:language>en-CA</dc:language>
  <cp:lastModifiedBy>JMB</cp:lastModifiedBy>
  <dcterms:modified xsi:type="dcterms:W3CDTF">2001-04-30T16:25:00Z</dcterms:modified>
  <cp:revision>2</cp:revision>
  <dc:subject/>
  <dc:title/>
</cp:coreProperties>
</file>