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ascii="Arial" w:hAnsi="Arial" w:cs="Arial"/>
          <w:b/>
          <w:caps/>
          <w:spacing w:val="60"/>
          <w:sz w:val="26"/>
        </w:rPr>
      </w:pPr>
      <w:r>
        <w:rPr>
          <w:rFonts w:cs="Arial" w:ascii="Arial" w:hAnsi="Arial"/>
          <w:b/>
          <w:caps/>
          <w:spacing w:val="60"/>
          <w:sz w:val="26"/>
        </w:rPr>
        <w:t>Memorandum</w:t>
      </w:r>
    </w:p>
    <w:p>
      <w:pPr>
        <w:pStyle w:val="DeliveryPhrase"/>
        <w:rPr/>
      </w:pPr>
      <w:r>
        <w:rPr/>
        <w:t>ATTORNEY-CLIENT PRIVILEGE</w:t>
        <w:br/>
        <w:t>CONFIDENTIAL</w:t>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Rick Shapiro, Enron</w:t>
              <w:br/>
              <w:t>Jeff Dasovich, Enron</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spacing w:before="0" w:after="180"/>
              <w:ind w:end="216"/>
              <w:rPr/>
            </w:pPr>
            <w:r>
              <w:rPr/>
              <w:t>Michael B. Day</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Analysis of Means to Assure Implementation of Possible Agreement with SCE</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BodyText"/>
        <w:spacing w:lineRule="auto" w:line="360"/>
        <w:ind w:hanging="0" w:end="0"/>
        <w:rPr/>
      </w:pPr>
      <w:r>
        <w:rPr>
          <w:u w:val="single"/>
        </w:rPr>
        <w:t>ASSIGNMENT</w:t>
      </w:r>
      <w:r>
        <w:rPr/>
        <w:t xml:space="preserve">:  You have requested that we consider means to ensure that an agreement with Southern California Edison Co. (SCE) can be implemented with a high degree of assurance, particularly with regard to ensuring that any commitment on the part of SCE to make monetary payments to Enron can be assured.  In addition, you have asked us to consider possible provisions for the settlement to encourage its approval and to discourage the passage of contrary petition-based initiatives.  </w:t>
      </w:r>
    </w:p>
    <w:p>
      <w:pPr>
        <w:pStyle w:val="BodyText"/>
        <w:spacing w:lineRule="auto" w:line="360"/>
        <w:ind w:hanging="0" w:end="0"/>
        <w:rPr/>
      </w:pPr>
      <w:r>
        <w:rPr/>
      </w:r>
    </w:p>
    <w:p>
      <w:pPr>
        <w:pStyle w:val="BodyText"/>
        <w:spacing w:lineRule="auto" w:line="360"/>
        <w:ind w:hanging="0" w:end="0"/>
        <w:rPr/>
      </w:pPr>
      <w:r>
        <w:rPr>
          <w:u w:val="single"/>
        </w:rPr>
        <w:t>MEANS TO GUARANTEE SCE PAYMENTS TO ENRON</w:t>
      </w:r>
      <w:r>
        <w:rPr/>
        <w:t xml:space="preserve">: </w:t>
      </w:r>
    </w:p>
    <w:p>
      <w:pPr>
        <w:pStyle w:val="BodyText"/>
        <w:spacing w:lineRule="auto" w:line="360"/>
        <w:rPr/>
      </w:pPr>
      <w:r>
        <w:rPr/>
        <w:t>SCE, as a regulated utility, has the ability to enter into commercial settlements or agreements with third parties at its discretion, but whether or not it obtains cost recovery for any payments made under the terms of such an agreement is subject to the regulatory discretion of the CPUC.  To the extent that the major form of payment by SCE to Enron anticipated is for CTC credits associated with Edison’s power purchase costs and the associated credits to be provided to direct access providers, the recovery of such costs from ratepayers will be essential for SCE, thus bringing the payments squarely before the CPUC’s authority under Sections 454 and 761 of the Public Utilities Code, plus the provisions of AB 1890 authorizing the Commission to review and approve the utilities’ cost recovery (CTC) rate mechanisms, §368.  So long as the current Commission has ratemaking discretion over the form and quantity of the credits to be paid to direct access providers, there will be substantial risk and uncertainty over those payments.  Several members of the current Commission are openly hostile to direct access providers, including Enron.  There is no way for a bilateral settlement between SCE and Enron to bind the Commission in this regard.</w:t>
      </w:r>
    </w:p>
    <w:p>
      <w:pPr>
        <w:pStyle w:val="BodyText"/>
        <w:spacing w:lineRule="auto" w:line="360"/>
        <w:rPr/>
      </w:pPr>
      <w:r>
        <w:rPr/>
        <w:t>Consequently, the only means to assure that SCE makes payments required under the contemplated agreement is for enactment by the California Legislature, together with the Governor’s willingness to sign, legislation which specifically requires SCE and the Commission to implement the particular payments at issue in the agreement.  In connection with SCE’s Memorandum of Understanding with the administration (MOU), that agreement calls for several specific items of implementing legislation to be enacted, thereby providing a convenient vehicle for inclusion of provisions to assure the payments to Enron.</w:t>
      </w:r>
    </w:p>
    <w:p>
      <w:pPr>
        <w:pStyle w:val="BodyText"/>
        <w:spacing w:lineRule="auto" w:line="360"/>
        <w:rPr/>
      </w:pPr>
      <w:r>
        <w:rPr/>
        <w:t>It is our recommendation that if an Enron/SCE agreement is reached, proposed legislative language should be drafted to be added to the SCE MOU implementation legislation which the administration will offer, specifically requiring SCE to make payments due and owing under the preexisting CPUC-approved tariffs, and requiring the CPUC to grant rate recovery for such payments as contemplated in its tariff rules.  So long as SCE is not in bankruptcy, such a provision should be effective.  If there are other types of payments involved, specific language may have to be developed to cover additional circumstances. Absent such legislation, the CPUC would retain sufficient jurisdiction to review the reasonableness of such payments and to approve or deny them.</w:t>
      </w:r>
    </w:p>
    <w:p>
      <w:pPr>
        <w:pStyle w:val="BodyText"/>
        <w:spacing w:lineRule="auto" w:line="360"/>
        <w:ind w:hanging="0" w:end="0"/>
        <w:rPr/>
      </w:pPr>
      <w:r>
        <w:rPr/>
      </w:r>
    </w:p>
    <w:p>
      <w:pPr>
        <w:pStyle w:val="BodyText"/>
        <w:spacing w:lineRule="auto" w:line="360"/>
        <w:ind w:hanging="0" w:end="0"/>
        <w:rPr>
          <w:u w:val="single"/>
        </w:rPr>
      </w:pPr>
      <w:r>
        <w:rPr>
          <w:u w:val="single"/>
        </w:rPr>
        <w:t xml:space="preserve">PROVISIONS DESIGNED TO PRESERVE THE AGREEMENT </w:t>
      </w:r>
    </w:p>
    <w:p>
      <w:pPr>
        <w:pStyle w:val="BodyText"/>
        <w:spacing w:lineRule="auto" w:line="360"/>
        <w:rPr/>
      </w:pPr>
      <w:r>
        <w:rPr/>
        <w:t xml:space="preserve">Implementation of an Enron-SCE agreement as part of the SCE MOU proposal faces potential opposition from various consumer groups who oppose SCE’s recovery of substantially all its past power purchase costs.  There is a strong likelihood of a petition-based voter initiative on the ballot within the next 12 months which would seek to invalidate any such settlement, as well as other provisions of the state’s response to the energy crisis.  In seeking to reduce the potential for the success of such an initiative petition, we have considered what provisions might be included in the Enron-SCE settlement agreement.  For purposes of this analysis we assume that neither SCE nor an ESP such as Enron are not permitted under the agreement to recover 100% of all claimed monies due, but instead agree on a compromise amount for such payments. </w:t>
      </w:r>
    </w:p>
    <w:p>
      <w:pPr>
        <w:pStyle w:val="BodyText"/>
        <w:spacing w:lineRule="auto" w:line="360"/>
        <w:rPr/>
      </w:pPr>
      <w:r>
        <w:rPr/>
        <w:t xml:space="preserve">A provision could be inserted in the settlement, or in the implementing legislation, to specify that in the event that provisions of the settlement or the implementing legislation are revoked, voided, or rendered ineffective by an initiative, then both SCE and Enron, or a similarly situated ESP, could seek 100% recovery of their previously discounted claims.  Such a provision would be enforceable, as it would be an act of legislative authority to alter the regulatory authority of the Commission, and not a legislative amendment of the initiative itself, which would be unconstitutional.  However, such a provision would very likely raise substantial opposition from all consumer groups, including those who do not support the initiative process, on the grounds that it effectively blackmails such parties into foregoing their existing rights to challenge such regulatory actions.  There is a significant potential for a backlash reaction to such a provision.  </w:t>
      </w:r>
    </w:p>
    <w:p>
      <w:pPr>
        <w:pStyle w:val="BodyText"/>
        <w:spacing w:lineRule="auto" w:line="360"/>
        <w:rPr/>
      </w:pPr>
      <w:r>
        <w:rPr/>
        <w:t>In addition, there is a significant probability that a successful initiative would have other provisions which would severely hamper Enron operations in California, including restrictions on direct access, limitations on who can buy power and efforts to impose price caps or restrictions on that portion of the market now entirely under federal authority.  These provisions could render implementation of the agreement larger moot except as to issues of past payments by SCE.</w:t>
      </w:r>
    </w:p>
    <w:p>
      <w:pPr>
        <w:pStyle w:val="BodyText"/>
        <w:spacing w:lineRule="auto" w:line="360"/>
        <w:rPr/>
      </w:pPr>
      <w:r>
        <w:rPr/>
        <w:t>At this time, we can not envision other provisions of the potential agreement which could be effectively tied to passage of an initiative to discourage support for the initiative.  The other central elements of the SCE MOU, such as the sale of the transmission system and the contract for power with a guaranteed rate of return are very likely the portions of the MOU which the initiative will attack.</w:t>
      </w:r>
    </w:p>
    <w:p>
      <w:pPr>
        <w:pStyle w:val="Normal"/>
        <w:spacing w:lineRule="exact" w:line="200" w:before="240" w:after="0"/>
        <w:rPr/>
      </w:pPr>
      <w:r>
        <w:rPr>
          <w:rStyle w:val="zzmpTrailerItem"/>
        </w:rPr>
        <w:t>2704/009/X23910-1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17"/>
    <w:docVar w:name="cmbAuthorLists" w:val="-100"/>
    <w:docVar w:name="cmbOptBodyTextAlignment" w:val="0"/>
    <w:docVar w:name="cmbOptFonts" w:val="Times New Roman"/>
    <w:docVar w:name="cmbOptLetterhead" w:val="Firm Name"/>
    <w:docVar w:name="cmbOptOffices" w:val="1"/>
    <w:docVar w:name="iTrailerType" w:val="1"/>
    <w:docVar w:name="lstDeliveryPhrases" w:val="Confidential"/>
    <w:docVar w:name="Restarted" w:val="True"/>
    <w:docVar w:name="tglUseFirmDefaults" w:val="False"/>
    <w:docVar w:name="txtDeliveryPhrases" w:val="ATTORNEY-CLIENT PRIVILEGE&#10;CONFIDENTIAL"/>
    <w:docVar w:name="txtFrom" w:val="Michael B. Day&#10;"/>
    <w:docVar w:name="txtOptBottomMargin" w:val="1"/>
    <w:docVar w:name="txtOptFirstLine" w:val="1"/>
    <w:docVar w:name="txtOptFSize" w:val="12"/>
    <w:docVar w:name="txtOptLeftMargin" w:val="1"/>
    <w:docVar w:name="txtOptRightMargin" w:val="1"/>
    <w:docVar w:name="txtOptTopMargin" w:val="1"/>
    <w:docVar w:name="txtRe" w:val="Analysis of Means to Assure Implementation of Possible Agreement with SCE"/>
    <w:docVar w:name="txtTo" w:val="Rick Shapiro, Enron&#10;Jeff Dasovich, Enron"/>
    <w:docVar w:name="zzmpFixed_MacPacVersion" w:val="97"/>
    <w:docVar w:name="zzmpFixedDOC_ID" w:val="2704/009/X2391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2001-04-25T16:11:00Z</dcterms:created>
  <dc:creator>Charles H. Post, Jr.</dc:creator>
  <dc:description>Rev. March 13, 1998 10:48:50</dc:description>
  <dc:language>en-CA</dc:language>
  <cp:lastModifiedBy>Charles H. Post, Jr.</cp:lastModifiedBy>
  <cp:lastPrinted>2001-04-25T11:39:00Z</cp:lastPrinted>
  <dcterms:modified xsi:type="dcterms:W3CDTF">2001-04-25T16:11:00Z</dcterms:modified>
  <cp:revision>3</cp:revision>
  <dc:subject/>
  <dc:title/>
</cp:coreProperties>
</file>