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start"/>
        <w:tblInd w:w="0" w:type="dxa"/>
        <w:tblLayout w:type="fixed"/>
        <w:tblCellMar>
          <w:top w:w="0" w:type="dxa"/>
          <w:start w:w="0" w:type="dxa"/>
          <w:bottom w:w="0" w:type="dxa"/>
          <w:end w:w="0" w:type="dxa"/>
        </w:tblCellMar>
      </w:tblPr>
      <w:tblGrid>
        <w:gridCol w:w="2880"/>
        <w:gridCol w:w="3629"/>
        <w:gridCol w:w="3960"/>
      </w:tblGrid>
      <w:tr>
        <w:trPr>
          <w:trHeight w:val="1872" w:hRule="exact"/>
        </w:trPr>
        <w:tc>
          <w:tcPr>
            <w:tcW w:w="2880" w:type="dxa"/>
            <w:tcBorders/>
          </w:tcPr>
          <w:p>
            <w:pPr>
              <w:pStyle w:val="Letterhead"/>
              <w:snapToGrid w:val="false"/>
              <w:rPr/>
            </w:pPr>
            <w:r>
              <w:rPr/>
            </w:r>
          </w:p>
        </w:tc>
        <w:tc>
          <w:tcPr>
            <w:tcW w:w="3629" w:type="dxa"/>
            <w:tcBorders/>
          </w:tcPr>
          <w:p>
            <w:pPr>
              <w:pStyle w:val="LetterDate"/>
              <w:ind w:start="113" w:end="113"/>
              <w:jc w:val="center"/>
              <w:rPr>
                <w:lang w:val="en-CA"/>
              </w:rPr>
            </w:pPr>
            <w:r>
              <w:rPr>
                <w:lang w:val="en-CA"/>
              </w:rPr>
              <w:t>April 25, 2001</w:t>
            </w:r>
          </w:p>
        </w:tc>
        <w:tc>
          <w:tcPr>
            <w:tcW w:w="3960" w:type="dxa"/>
            <w:tcBorders/>
          </w:tcPr>
          <w:p>
            <w:pPr>
              <w:pStyle w:val="Letterhead"/>
              <w:snapToGrid w:val="false"/>
              <w:ind w:start="1440" w:end="0"/>
              <w:rPr/>
            </w:pPr>
            <w:r>
              <w:rPr/>
            </w:r>
          </w:p>
        </w:tc>
      </w:tr>
    </w:tbl>
    <w:p>
      <w:pPr>
        <w:pStyle w:val="Address"/>
        <w:rPr/>
      </w:pPr>
      <w:r>
        <w:rPr/>
      </w:r>
    </w:p>
    <w:p>
      <w:pPr>
        <w:pStyle w:val="Address"/>
        <w:rPr/>
      </w:pPr>
      <w:r>
        <w:rPr/>
        <w:t>Kevin Coughlan</w:t>
      </w:r>
    </w:p>
    <w:p>
      <w:pPr>
        <w:pStyle w:val="Address"/>
        <w:rPr/>
      </w:pPr>
      <w:r>
        <w:rPr/>
        <w:t>California Public Utilities Commission</w:t>
      </w:r>
    </w:p>
    <w:p>
      <w:pPr>
        <w:pStyle w:val="Address"/>
        <w:rPr/>
      </w:pPr>
      <w:r>
        <w:rPr/>
        <w:t>Energy Division</w:t>
      </w:r>
    </w:p>
    <w:p>
      <w:pPr>
        <w:pStyle w:val="Address"/>
        <w:rPr/>
      </w:pPr>
      <w:r>
        <w:rPr/>
        <w:t>505 Van Ness Avenue, Room 4002</w:t>
      </w:r>
    </w:p>
    <w:p>
      <w:pPr>
        <w:pStyle w:val="Address"/>
        <w:rPr/>
      </w:pPr>
      <w:r>
        <w:rPr/>
        <w:t xml:space="preserve">San Francisco, CA 94102 </w:t>
      </w:r>
    </w:p>
    <w:p>
      <w:pPr>
        <w:pStyle w:val="ReLine"/>
        <w:ind w:start="2160" w:end="115"/>
        <w:rPr>
          <w:b/>
        </w:rPr>
      </w:pPr>
      <w:r>
        <w:rPr>
          <w:b/>
        </w:rPr>
        <w:t>Re:</w:t>
        <w:tab/>
      </w:r>
      <w:r>
        <w:rPr>
          <w:b/>
          <w:u w:val="single"/>
        </w:rPr>
        <w:t>SCE Advice Letter 1529-E</w:t>
      </w:r>
    </w:p>
    <w:p>
      <w:pPr>
        <w:pStyle w:val="Salutation"/>
        <w:rPr/>
      </w:pPr>
      <w:r>
        <w:rPr/>
        <w:t>Dear Mr. Coughlan:</w:t>
      </w:r>
    </w:p>
    <w:p>
      <w:pPr>
        <w:pStyle w:val="BodyText"/>
        <w:ind w:firstLine="720" w:end="0"/>
        <w:jc w:val="both"/>
        <w:rPr/>
      </w:pPr>
      <w:r>
        <w:rPr/>
        <w:t>On April 5, 2001, Southern California Edison Company (“SCE”) filed the above referenced advice letter. Through this filing, SCE seeks to withdraw Schedule PX, Power Exchange Energy, and replace it with Schedule PE, Procured Energy.  In conjunction with this tariff change, SCE seeks to “set on an interim basis, the cost of energy procurement for Bundled Service customers for billing purposes and in the calculation of the energy credit for Direct Access customers, equal to the Generation component of the Customer’s Otherwise Applicable Tariff (OAT).”   Enron Energy Services, Inc. (“Enron”) submits that the nature of SCE’s filing is vague, needing necessary clarification as detailed below.</w:t>
      </w:r>
    </w:p>
    <w:p>
      <w:pPr>
        <w:pStyle w:val="BodyText"/>
        <w:ind w:firstLine="720" w:end="0"/>
        <w:jc w:val="both"/>
        <w:rPr/>
      </w:pPr>
      <w:r>
        <w:rPr/>
        <w:t>Fist, SCE states (Advice at 2) that:</w:t>
      </w:r>
    </w:p>
    <w:p>
      <w:pPr>
        <w:pStyle w:val="BodyText"/>
        <w:ind w:hanging="0" w:start="720" w:end="720"/>
        <w:jc w:val="both"/>
        <w:rPr/>
      </w:pPr>
      <w:r>
        <w:rPr/>
        <w:t xml:space="preserve">The Average Energy Charge calculated under Schedule PX was utilized to determine the Direct Access credit and was displayed on Bundle Service customers’ bills.  This advice filing proposes to set the Average Energy Charge equal to the Generation rate component contained within the Customer’s OAT.  </w:t>
      </w:r>
    </w:p>
    <w:p>
      <w:pPr>
        <w:pStyle w:val="BodyText"/>
        <w:ind w:hanging="0" w:end="0"/>
        <w:jc w:val="both"/>
        <w:rPr/>
      </w:pPr>
      <w:r>
        <w:rPr/>
        <w:t xml:space="preserve">Nowhere, in the Advice Letter, does SCE clarify exactly what the “generation rate component” is comprised off.  To this end, Enron requests that SCE clarify that the Generation Rate Component reflects that cost of SCE’s retained generation (including qualifying facility and bilateral contracts). Such interpretation is in line with Advice 1514-E filed by SCE on January 23, 2001.  Therein, SCE, similar to the Advice Filing at issue, stated that:  </w:t>
      </w:r>
    </w:p>
    <w:p>
      <w:pPr>
        <w:pStyle w:val="BodyText"/>
        <w:ind w:hanging="0" w:start="720" w:end="720"/>
        <w:jc w:val="both"/>
        <w:rPr/>
      </w:pPr>
      <w:r>
        <w:rPr/>
        <w:t xml:space="preserve">The average Energy Charge calculated under Schedule PX is utilized to determine the Direct Access credit and is displayed on Bundled Service customers’ bills.  SCE’s proposal revises this calculation to include the cost of power from retained generation and power purchase contracts and the ISO imbalance market.  </w:t>
      </w:r>
    </w:p>
    <w:p>
      <w:pPr>
        <w:pStyle w:val="BodyText"/>
        <w:ind w:hanging="0" w:end="0"/>
        <w:jc w:val="both"/>
        <w:rPr/>
      </w:pPr>
      <w:r>
        <w:rPr/>
        <w:t xml:space="preserve"> </w:t>
      </w:r>
      <w:r>
        <w:rPr/>
        <w:t>Enron recognizes that SCE’s obligations to pay for ISO imbalance power is unclear at this time, and thus may not appropriately be part of the credit.</w:t>
      </w:r>
      <w:r>
        <w:rPr>
          <w:rStyle w:val="FootnoteCharacters"/>
          <w:rStyle w:val="FootnoteReference"/>
        </w:rPr>
        <w:footnoteReference w:id="2"/>
      </w:r>
      <w:r>
        <w:rPr/>
        <w:t xml:space="preserve">  The other cost components, however, are clearly recovered through SCE’s bundled rates and thus, must be part of the direct access credit. </w:t>
      </w:r>
    </w:p>
    <w:p>
      <w:pPr>
        <w:pStyle w:val="BodyText"/>
        <w:ind w:hanging="0" w:end="0"/>
        <w:jc w:val="both"/>
        <w:rPr/>
      </w:pPr>
      <w:r>
        <w:rPr/>
        <w:tab/>
        <w:t xml:space="preserve">Second, the one piece of clarifying information provided by SCE with respect to the Generation component – that it does not include the one cent Energy Procurement surcharge adopted by the commission in Decision 01-01-018, nor the three cent per kWh surcharge approved in Decision 01-03-082 </w:t>
      </w:r>
      <w:r>
        <w:rPr>
          <w:rStyle w:val="FootnoteCharacters"/>
          <w:rStyle w:val="FootnoteReference"/>
        </w:rPr>
        <w:footnoteReference w:id="3"/>
      </w:r>
      <w:r>
        <w:rPr/>
        <w:t xml:space="preserve"> -- must be addressed by the Commission.  While SCE notes the exclusion, it also “recommends that the Commission consider the appropriateness of including these surcharges in the final level of credit to Direct Access customers if they continue to pay the surcharges a component of their utility bundled bill.”  Enron submits that the Commission must not only consider the appropriateness, but must determine that Direct Access customers should pay neither the one cent nor three cent surcharge.</w:t>
      </w:r>
    </w:p>
    <w:p>
      <w:pPr>
        <w:pStyle w:val="BodyText"/>
        <w:ind w:hanging="0" w:end="0"/>
        <w:jc w:val="both"/>
        <w:rPr/>
      </w:pPr>
      <w:r>
        <w:rPr/>
        <w:tab/>
        <w:t>Both of the stated surcharges were put in place to fund going forward energy purchases. Indeed, the UDCs are precluded by Commission order from using the monies obtained from the surcharges for any other purpose.  Direct access customers do not receive energy from the UDC. They should not be compelled to pay three cent per kWh on a commodity that they are not purchasing – no principle of Commission ratemaking supports such a result.</w:t>
      </w:r>
      <w:r>
        <w:rPr>
          <w:rStyle w:val="FootnoteCharacters"/>
          <w:rStyle w:val="FootnoteReference"/>
        </w:rPr>
        <w:footnoteReference w:id="4"/>
      </w:r>
    </w:p>
    <w:p>
      <w:pPr>
        <w:pStyle w:val="BodyText"/>
        <w:ind w:firstLine="720" w:end="0"/>
        <w:jc w:val="both"/>
        <w:rPr/>
      </w:pPr>
      <w:r>
        <w:rPr/>
        <w:t xml:space="preserve">To this end, the Commission is currently, in A. 00-11-038, </w:t>
      </w:r>
      <w:r>
        <w:rPr>
          <w:i/>
        </w:rPr>
        <w:t>et al</w:t>
      </w:r>
      <w:r>
        <w:rPr/>
        <w:t xml:space="preserve">, establishing a record to ensure that rates to collect the revenue requirement created by the three cent per kWh surcharge are designed in a fair and equitable manner. One of the issues being addressed in that proceeding is the applicability of the surcharge to Direct Access customers. The Commission must allow that process to reach its conclusion. A final Commission decision in that proceeding is due to be issued on May 14, 2001.  Accordingly, the Commission must await that decision prior to acting on SCE’s advice filing.                         </w:t>
      </w:r>
    </w:p>
    <w:p>
      <w:pPr>
        <w:pStyle w:val="BodyText"/>
        <w:ind w:firstLine="720" w:end="0"/>
        <w:jc w:val="both"/>
        <w:rPr/>
      </w:pPr>
      <w:r>
        <w:rPr/>
        <w:t xml:space="preserve">Thus, for the reasons herein stated, Enron requests that SCE Advice Letter 1529-E be clarified to state that (1) the Generation Rate Component clearly includes the cost of power from retained generation and power purchase contracts; and (2) the three cent kWh surcharge approved by the Commission in Decision 01-03-082 will be included/excluded from the direct access credit in accordance with the forthcoming Commission decision in the A. 00-11-038.  </w:t>
      </w:r>
    </w:p>
    <w:p>
      <w:pPr>
        <w:pStyle w:val="BodyText"/>
        <w:ind w:hanging="0" w:end="720"/>
        <w:jc w:val="both"/>
        <w:rPr/>
      </w:pPr>
      <w:r>
        <w:rPr/>
        <w:t xml:space="preserve"> </w:t>
      </w:r>
      <w:r>
        <w:rPr/>
        <w:tab/>
        <w:tab/>
        <w:tab/>
        <w:tab/>
        <w:tab/>
        <w:tab/>
      </w:r>
    </w:p>
    <w:p>
      <w:pPr>
        <w:pStyle w:val="BodyText"/>
        <w:ind w:firstLine="720" w:start="5040" w:end="720"/>
        <w:jc w:val="both"/>
        <w:rPr/>
      </w:pPr>
      <w:r>
        <w:rPr/>
        <w:t>Respectfully submitted,</w:t>
      </w:r>
    </w:p>
    <w:p>
      <w:pPr>
        <w:pStyle w:val="BodyText"/>
        <w:ind w:hanging="0" w:end="720"/>
        <w:jc w:val="both"/>
        <w:rPr/>
      </w:pPr>
      <w:r>
        <w:rPr/>
      </w:r>
    </w:p>
    <w:p>
      <w:pPr>
        <w:pStyle w:val="BodyText"/>
        <w:ind w:hanging="0" w:end="720"/>
        <w:jc w:val="both"/>
        <w:rPr/>
      </w:pPr>
      <w:r>
        <w:rPr/>
        <w:tab/>
        <w:tab/>
        <w:tab/>
        <w:tab/>
        <w:tab/>
        <w:tab/>
        <w:tab/>
        <w:tab/>
        <w:t>Jeanne M. Bennett</w:t>
      </w:r>
    </w:p>
    <w:p>
      <w:pPr>
        <w:pStyle w:val="BodyText"/>
        <w:ind w:hanging="0" w:start="5760" w:end="720"/>
        <w:jc w:val="both"/>
        <w:rPr/>
      </w:pPr>
      <w:r>
        <w:rPr/>
        <w:t>Attorney for Enron Energy Services, Inc.</w:t>
        <w:tab/>
        <w:tab/>
        <w:tab/>
        <w:tab/>
        <w:tab/>
        <w:tab/>
        <w:tab/>
        <w:tab/>
      </w:r>
    </w:p>
    <w:p>
      <w:pPr>
        <w:pStyle w:val="BodyText"/>
        <w:ind w:hanging="0" w:end="720"/>
        <w:jc w:val="both"/>
        <w:rPr/>
      </w:pPr>
      <w:r>
        <w:rPr/>
        <w:tab/>
      </w:r>
    </w:p>
    <w:p>
      <w:pPr>
        <w:pStyle w:val="Normal"/>
        <w:spacing w:lineRule="exact" w:line="200" w:before="240" w:after="0"/>
        <w:rPr/>
      </w:pPr>
      <w:r>
        <w:rPr>
          <w:rStyle w:val="zzmpTrailerItem"/>
        </w:rPr>
        <w:t>2704/147/X23803-1</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0" w:after="240"/>
        <w:ind w:hanging="720" w:start="720" w:end="0"/>
        <w:jc w:val="both"/>
        <w:rPr/>
      </w:pPr>
      <w:r>
        <w:rPr>
          <w:rStyle w:val="FootnoteCharacters"/>
        </w:rPr>
        <w:footnoteRef/>
      </w:r>
      <w:r>
        <w:rPr/>
        <w:t xml:space="preserve"> </w:t>
      </w:r>
      <w:r>
        <w:rPr/>
        <w:tab/>
        <w:t xml:space="preserve">To this end, SCE should clarify that, given the fact that the amounts owing the Department of Water Resources by SCE are funded through the California Procurement Adjustment mechanism, these amounts are not part of the Generation Rate Component. </w:t>
      </w:r>
    </w:p>
  </w:footnote>
  <w:footnote w:id="3">
    <w:p>
      <w:pPr>
        <w:pStyle w:val="FootnoteText"/>
        <w:keepLines/>
        <w:spacing w:lineRule="exact" w:line="240" w:before="0" w:after="240"/>
        <w:ind w:hanging="720" w:start="720" w:end="0"/>
        <w:jc w:val="both"/>
        <w:rPr/>
      </w:pPr>
      <w:r>
        <w:rPr>
          <w:rStyle w:val="FootnoteCharacters"/>
        </w:rPr>
        <w:footnoteRef/>
      </w:r>
      <w:r>
        <w:rPr/>
        <w:t xml:space="preserve"> </w:t>
      </w:r>
      <w:r>
        <w:rPr/>
        <w:tab/>
        <w:t>Advice Filing 1529-E, p. 2, ft note 1.</w:t>
      </w:r>
    </w:p>
  </w:footnote>
  <w:footnote w:id="4">
    <w:p>
      <w:pPr>
        <w:pStyle w:val="FootnoteText"/>
        <w:keepLines/>
        <w:spacing w:lineRule="exact" w:line="240" w:before="0" w:after="240"/>
        <w:ind w:hanging="720" w:start="720" w:end="0"/>
        <w:jc w:val="both"/>
        <w:rPr/>
      </w:pPr>
      <w:r>
        <w:rPr>
          <w:rStyle w:val="FootnoteCharacters"/>
        </w:rPr>
        <w:footnoteRef/>
      </w:r>
      <w:r>
        <w:rPr/>
        <w:t xml:space="preserve"> </w:t>
      </w:r>
      <w:r>
        <w:rPr/>
        <w:tab/>
        <w:t xml:space="preserve">Enron recognizes that, in Decision 01-01-018, the Commission applied the one-cent per kWh surcharge to direct access customers.  At that time, however, the surcharge was imposed on a temporary basis, subject to refund.  Circumstances have now changed. The one-cent surcharge has been made permanent, with relatively narrow refund potential.  This changed circumstance warrants reevaluating the application of the surcharge to direct access customers.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Kevin Coughlan</w:t>
    </w:r>
  </w:p>
  <w:p>
    <w:pPr>
      <w:pStyle w:val="Normal"/>
      <w:tabs>
        <w:tab w:val="clear" w:pos="720"/>
        <w:tab w:val="center" w:pos="4680" w:leader="none"/>
        <w:tab w:val="right" w:pos="9360" w:leader="none"/>
      </w:tabs>
      <w:rPr/>
    </w:pPr>
    <w:r>
      <w:rPr/>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3</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snapToGrid w:val="false"/>
            <w:jc w:val="center"/>
            <w:rPr/>
          </w:pPr>
          <w:r>
            <w:rPr/>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True"/>
    <w:docVar w:name="chkOptInternetID" w:val="False"/>
    <w:docVar w:name="chkOptLHName" w:val="False"/>
    <w:docVar w:name="cmbAuthor" w:val="2014"/>
    <w:docVar w:name="cmbAuthorLists" w:val="-101"/>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1"/>
    <w:docVar w:name="cmbSetAuthorPref" w:val="2014"/>
    <w:docVar w:name="iTrailerType" w:val="1"/>
    <w:docVar w:name="lstDeliveryPhrases" w:val="Attorney Work Product"/>
    <w:docVar w:name="Restarted" w:val="True"/>
    <w:docVar w:name="tglUseFirmDefaults" w:val="False"/>
    <w:docVar w:name="txtAddress" w:val="California Public Utilities Commission&#10;Energy Division&#10;505 Van Ness Avenue, Room 4002&#10;San Francisco, CA 94102 "/>
    <w:docVar w:name="txtAuthor" w:val="Jeanne M. Bennett"/>
    <w:docVar w:name="txtInitials" w:val="JMB"/>
    <w:docVar w:name="txtNames" w:val="Kevin Coughlan"/>
    <w:docVar w:name="txtNet_ID" w:val="jbennett@gmssr.com"/>
    <w:docVar w:name="txtOptBottomMargin" w:val="1.4"/>
    <w:docVar w:name="txtOptFirstLine" w:val="1"/>
    <w:docVar w:name="txtOptFSize" w:val="12"/>
    <w:docVar w:name="txtOptLeftMargin" w:val="1"/>
    <w:docVar w:name="txtOptRightMargin" w:val="1"/>
    <w:docVar w:name="txtOptTopMargin" w:val="1.5"/>
    <w:docVar w:name="txtPhone" w:val="415-392-7900"/>
    <w:docVar w:name="txtReLine" w:val="SCE Advice Letter 1529-E"/>
    <w:docVar w:name="txtSalutation" w:val="Mr. Coughlan"/>
    <w:docVar w:name="txtTitle" w:val="Associate"/>
    <w:docVar w:name="zzmpFixed_MacPacVersion" w:val="97"/>
    <w:docVar w:name="zzmpFixedDOC_ID" w:val="2704/147/X23803-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before="0" w:after="240"/>
      <w:ind w:hanging="720" w:start="720" w:end="0"/>
      <w:jc w:val="both"/>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jc w:val="center"/>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Times New Roman" w:hAnsi="Book Antiqua;Times New Roman" w:eastAsia="Times New Roman" w:cs="Book Antiqua;Times New Roman"/>
      <w:color w:val="auto"/>
      <w:sz w:val="17"/>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2001-04-24T13:29:00Z</dcterms:created>
  <dc:creator>JMB</dc:creator>
  <dc:description>Rev. March 13, 1998 10:46:44</dc:description>
  <dc:language>en-CA</dc:language>
  <cp:lastModifiedBy>JMB</cp:lastModifiedBy>
  <dcterms:modified xsi:type="dcterms:W3CDTF">2001-04-24T13:29:00Z</dcterms:modified>
  <cp:revision>2</cp:revision>
  <dc:subject/>
  <dc:title/>
</cp:coreProperties>
</file>