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Comparison Exhibit</w:t>
      </w:r>
    </w:p>
    <w:p>
      <w:pPr>
        <w:pStyle w:val="Normal"/>
        <w:jc w:val="center"/>
        <w:rPr>
          <w:b/>
        </w:rPr>
      </w:pPr>
      <w:r>
        <w:rPr>
          <w:b/>
        </w:rPr>
        <w:t>Summary of Enron Energy Services, Inc.’s Proposal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928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4"/>
        <w:gridCol w:w="3258"/>
        <w:gridCol w:w="2716"/>
        <w:gridCol w:w="2340"/>
      </w:tblGrid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Revenue Requirement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PG&amp;E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Edison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Current Revenue Starting Point (show calculation and result in $)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Total Revenue Increase (show calculation and result in $)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Revenue Increase based on 3-cents/kWh or 4-cents/kWh?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Revenue Allocation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Inter-class Allocation Methodology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Source of allocator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Allocation of Residential Revenues below 130% of Baseline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Scope of CARE Exemption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Allocation of CARE Subsidy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Rate Design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Number of Residential Tiers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Commercial Tiers? (Y or N)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Yes (large commercial and industrial)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Yes (large commercial and industrial)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Commercial Tiering methodology, if applicable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 xml:space="preserve">Establish customer baseline (usage, same month last year); usage at 87 % of baseline or less pays current rate; usage above 87% of usage pays market price 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Establish customer baseline (usage, same month last year); usage at 87 % of baseline or less pays current rate; usage above 87% of usage pays market price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Definition of Periods to which increases are allocated.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Definition of TOU Periods (hours of day)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Identify Total # of Hours Receiving Rate Increase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Proposal is not based on hours receiving rate increase but incremental usage receiving increased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Proposal is not based on hours receiving rate increase but incremental usage receiving increased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Were TOU Rates Tiered?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Yes (two tiers)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Yes (two tiers)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Benchmarked Rates, if any (e.g., based on a customer’s prior year’s usage)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See cell c, above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60" w:end="0"/>
              <w:rPr>
                <w:sz w:val="22"/>
              </w:rPr>
            </w:pPr>
            <w:r>
              <w:rPr>
                <w:sz w:val="22"/>
              </w:rPr>
              <w:t>See cell c, above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Capping Levels, if any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SIC Codes, if any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Other Concepts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Allocation of March 27 – June 1 Undercollection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Application of rate increases to Direct Access customers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Application of rate increases to departing customers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2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6" w:end="0"/>
              <w:rPr>
                <w:sz w:val="22"/>
              </w:rPr>
            </w:pPr>
            <w:r>
              <w:rPr>
                <w:sz w:val="22"/>
              </w:rPr>
              <w:t>Expiration of 10% residential rate reduction</w:t>
            </w:r>
          </w:p>
        </w:tc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3078" w:leader="none"/>
          <w:tab w:val="left" w:pos="5621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X23802.DOC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rPr/>
    </w:pPr>
    <w:r>
      <w:rPr/>
      <w:t>Energy Division Draft</w:t>
      <w:tab/>
      <w:tab/>
    </w:r>
    <w:r>
      <w:rPr/>
      <w:fldChar w:fldCharType="begin"/>
    </w:r>
    <w:r>
      <w:rPr/>
      <w:instrText xml:space="preserve"> DATE \@"M\/d\/yy" </w:instrText>
    </w:r>
    <w:r>
      <w:rPr/>
      <w:fldChar w:fldCharType="separate"/>
    </w:r>
    <w:r>
      <w:rPr/>
      <w:t>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72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">
    <w:name w:val="Table"/>
    <w:basedOn w:val="Normal"/>
    <w:qFormat/>
    <w:pPr>
      <w:keepNext w:val="true"/>
      <w:keepLines/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Table-FirstRow">
    <w:name w:val="Table - First Row"/>
    <w:basedOn w:val="Table"/>
    <w:qFormat/>
    <w:pPr>
      <w:spacing w:before="120" w:after="0"/>
    </w:pPr>
    <w:rPr/>
  </w:style>
  <w:style w:type="paragraph" w:styleId="Table-LastRow">
    <w:name w:val="Table - Last Row"/>
    <w:basedOn w:val="Table"/>
    <w:qFormat/>
    <w:pPr>
      <w:keepNext w:val="false"/>
      <w:spacing w:before="12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2001-04-21T18:41:00Z</dcterms:created>
  <dc:creator>Energy </dc:creator>
  <dc:description/>
  <dc:language>en-CA</dc:language>
  <cp:lastModifiedBy>JMB</cp:lastModifiedBy>
  <cp:lastPrinted>2001-04-18T15:53:00Z</cp:lastPrinted>
  <dcterms:modified xsi:type="dcterms:W3CDTF">2001-04-21T18:41:00Z</dcterms:modified>
  <cp:revision>2</cp:revision>
  <dc:subject/>
  <dc:title>Comparison exhibit  (X23802.DOC;1)</dc:title>
</cp:coreProperties>
</file>