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rPr>
      </w:pPr>
      <w:r>
        <w:rPr>
          <w:b/>
        </w:rPr>
        <w:t>Outline for Enron Energy Services Brief on Rate Design</w:t>
      </w:r>
    </w:p>
    <w:p>
      <w:pPr>
        <w:pStyle w:val="Normal"/>
        <w:rPr>
          <w:b/>
        </w:rPr>
      </w:pPr>
      <w:r>
        <w:rPr>
          <w:b/>
        </w:rPr>
      </w:r>
    </w:p>
    <w:p>
      <w:pPr>
        <w:pStyle w:val="Normal"/>
        <w:rPr>
          <w:b/>
        </w:rPr>
      </w:pPr>
      <w:r>
        <w:rPr>
          <w:b/>
        </w:rPr>
      </w:r>
    </w:p>
    <w:p>
      <w:pPr>
        <w:pStyle w:val="Normal"/>
        <w:rPr>
          <w:b/>
        </w:rPr>
      </w:pPr>
      <w:r>
        <w:rPr>
          <w:b/>
        </w:rPr>
        <w:t>I.</w:t>
        <w:tab/>
        <w:t xml:space="preserve"> Introduction</w:t>
      </w:r>
    </w:p>
    <w:p>
      <w:pPr>
        <w:pStyle w:val="Normal"/>
        <w:rPr>
          <w:b/>
        </w:rPr>
      </w:pPr>
      <w:r>
        <w:rPr>
          <w:b/>
        </w:rPr>
      </w:r>
    </w:p>
    <w:p>
      <w:pPr>
        <w:pStyle w:val="Normal"/>
        <w:ind w:hanging="720" w:start="1440" w:end="0"/>
        <w:rPr/>
      </w:pPr>
      <w:r>
        <w:rPr>
          <w:rFonts w:eastAsia="Symbol" w:cs="Symbol" w:ascii="Symbol" w:hAnsi="Symbol"/>
          <w:b/>
        </w:rPr>
        <w:sym w:font="Symbol" w:char="f0b7"/>
      </w:r>
      <w:r>
        <w:rPr>
          <w:b/>
        </w:rPr>
        <w:tab/>
      </w:r>
      <w:r>
        <w:rPr/>
        <w:t xml:space="preserve">Job of Commission in this proceeding – design rates to collect the three-cent kWh surcharge </w:t>
      </w:r>
      <w:r>
        <w:rPr>
          <w:b/>
        </w:rPr>
        <w:tab/>
      </w:r>
    </w:p>
    <w:p>
      <w:pPr>
        <w:pStyle w:val="Normal"/>
        <w:rPr>
          <w:b/>
        </w:rPr>
      </w:pPr>
      <w:r>
        <w:rPr>
          <w:b/>
        </w:rPr>
      </w:r>
    </w:p>
    <w:p>
      <w:pPr>
        <w:pStyle w:val="Normal"/>
        <w:ind w:start="720" w:end="0"/>
        <w:rPr/>
      </w:pPr>
      <w:r>
        <w:rPr>
          <w:rFonts w:eastAsia="Symbol" w:cs="Symbol" w:ascii="Symbol" w:hAnsi="Symbol"/>
        </w:rPr>
        <w:sym w:font="Symbol" w:char="f0b7"/>
      </w:r>
      <w:r>
        <w:rPr/>
        <w:tab/>
        <w:t xml:space="preserve">General discussion of our four basic goals of rate design </w:t>
      </w:r>
    </w:p>
    <w:p>
      <w:pPr>
        <w:pStyle w:val="Normal"/>
        <w:rPr/>
      </w:pPr>
      <w:r>
        <w:rPr/>
      </w:r>
    </w:p>
    <w:p>
      <w:pPr>
        <w:pStyle w:val="Normal"/>
        <w:rPr/>
      </w:pPr>
      <w:r>
        <w:rPr/>
        <w:tab/>
        <w:tab/>
      </w:r>
      <w:r>
        <w:rPr>
          <w:rFonts w:eastAsia="Symbol" w:cs="Symbol" w:ascii="Symbol" w:hAnsi="Symbol"/>
        </w:rPr>
        <w:sym w:font="Symbol" w:char="f0b7"/>
      </w:r>
      <w:r>
        <w:rPr/>
        <w:tab/>
        <w:t>appropriate price signal</w:t>
      </w:r>
    </w:p>
    <w:p>
      <w:pPr>
        <w:pStyle w:val="Normal"/>
        <w:rPr/>
      </w:pPr>
      <w:r>
        <w:rPr/>
        <w:tab/>
        <w:tab/>
      </w:r>
      <w:r>
        <w:rPr>
          <w:rFonts w:eastAsia="Symbol" w:cs="Symbol" w:ascii="Symbol" w:hAnsi="Symbol"/>
        </w:rPr>
        <w:sym w:font="Symbol" w:char="f0b7"/>
      </w:r>
      <w:r>
        <w:rPr/>
        <w:tab/>
        <w:t>treat all classes in a clear and consistent manner</w:t>
      </w:r>
    </w:p>
    <w:p>
      <w:pPr>
        <w:pStyle w:val="Normal"/>
        <w:rPr/>
      </w:pPr>
      <w:r>
        <w:rPr/>
        <w:tab/>
        <w:tab/>
      </w:r>
      <w:r>
        <w:rPr>
          <w:rFonts w:eastAsia="Symbol" w:cs="Symbol" w:ascii="Symbol" w:hAnsi="Symbol"/>
        </w:rPr>
        <w:sym w:font="Symbol" w:char="f0b7"/>
      </w:r>
      <w:r>
        <w:rPr/>
        <w:tab/>
        <w:t>achieve the targeted revenue requirement</w:t>
      </w:r>
    </w:p>
    <w:p>
      <w:pPr>
        <w:pStyle w:val="Normal"/>
        <w:rPr/>
      </w:pPr>
      <w:r>
        <w:rPr/>
        <w:tab/>
        <w:tab/>
      </w:r>
      <w:r>
        <w:rPr>
          <w:rFonts w:eastAsia="Symbol" w:cs="Symbol" w:ascii="Symbol" w:hAnsi="Symbol"/>
        </w:rPr>
        <w:sym w:font="Symbol" w:char="f0b7"/>
      </w:r>
      <w:r>
        <w:rPr/>
        <w:tab/>
        <w:t>readily understood and easy to administer</w:t>
      </w:r>
    </w:p>
    <w:p>
      <w:pPr>
        <w:pStyle w:val="Normal"/>
        <w:rPr/>
      </w:pPr>
      <w:r>
        <w:rPr/>
        <w:tab/>
        <w:tab/>
      </w:r>
    </w:p>
    <w:p>
      <w:pPr>
        <w:pStyle w:val="Normal"/>
        <w:rPr>
          <w:b/>
        </w:rPr>
      </w:pPr>
      <w:r>
        <w:rPr>
          <w:b/>
        </w:rPr>
        <w:tab/>
      </w:r>
    </w:p>
    <w:p>
      <w:pPr>
        <w:pStyle w:val="Normal"/>
        <w:rPr>
          <w:b/>
        </w:rPr>
      </w:pPr>
      <w:r>
        <w:rPr>
          <w:b/>
        </w:rPr>
        <w:t>II.</w:t>
        <w:tab/>
        <w:t>Revenue Allocation</w:t>
      </w:r>
    </w:p>
    <w:p>
      <w:pPr>
        <w:pStyle w:val="Normal"/>
        <w:rPr>
          <w:b/>
        </w:rPr>
      </w:pPr>
      <w:r>
        <w:rPr>
          <w:b/>
        </w:rPr>
        <w:tab/>
      </w:r>
    </w:p>
    <w:p>
      <w:pPr>
        <w:pStyle w:val="Normal"/>
        <w:ind w:hanging="720" w:start="1440" w:end="0"/>
        <w:rPr/>
      </w:pPr>
      <w:r>
        <w:rPr>
          <w:rFonts w:eastAsia="Symbol" w:cs="Symbol" w:ascii="Symbol" w:hAnsi="Symbol"/>
          <w:b/>
        </w:rPr>
        <w:sym w:font="Symbol" w:char="f0b7"/>
      </w:r>
      <w:r>
        <w:rPr>
          <w:b/>
        </w:rPr>
        <w:tab/>
      </w:r>
      <w:r>
        <w:rPr/>
        <w:t>Do we want to take a position on how the revenue requirement should be allocated across customer classes?</w:t>
      </w:r>
    </w:p>
    <w:p>
      <w:pPr>
        <w:pStyle w:val="Normal"/>
        <w:ind w:hanging="720" w:start="1440" w:end="0"/>
        <w:rPr/>
      </w:pPr>
      <w:r>
        <w:rPr/>
      </w:r>
    </w:p>
    <w:p>
      <w:pPr>
        <w:pStyle w:val="Normal"/>
        <w:ind w:start="1440" w:end="0"/>
        <w:rPr/>
      </w:pPr>
      <w:r>
        <w:rPr>
          <w:rFonts w:eastAsia="Symbol" w:cs="Symbol" w:ascii="Symbol" w:hAnsi="Symbol"/>
        </w:rPr>
        <w:sym w:font="Symbol" w:char="f0b7"/>
      </w:r>
      <w:r>
        <w:rPr/>
        <w:tab/>
        <w:t>If so what do we want to support – equal cent per kWh? Top 100 hours?</w:t>
      </w:r>
    </w:p>
    <w:p>
      <w:pPr>
        <w:pStyle w:val="Normal"/>
        <w:ind w:start="1440" w:end="0"/>
        <w:rPr/>
      </w:pPr>
      <w:r>
        <w:rPr/>
      </w:r>
    </w:p>
    <w:p>
      <w:pPr>
        <w:pStyle w:val="Normal"/>
        <w:ind w:hanging="720" w:start="1440" w:end="0"/>
        <w:rPr/>
      </w:pPr>
      <w:r>
        <w:rPr>
          <w:rFonts w:eastAsia="Symbol" w:cs="Symbol" w:ascii="Symbol" w:hAnsi="Symbol"/>
        </w:rPr>
        <w:sym w:font="Symbol" w:char="f0b7"/>
      </w:r>
      <w:r>
        <w:rPr/>
        <w:tab/>
        <w:t>Reallocation of revenues lost from the 130% of baseline exemption within the residential class – Do we want to take a position or remain silent given that a lot of other people are addressing this?</w:t>
      </w:r>
    </w:p>
    <w:p>
      <w:pPr>
        <w:pStyle w:val="Normal"/>
        <w:ind w:hanging="720" w:start="1440" w:end="0"/>
        <w:rPr/>
      </w:pPr>
      <w:r>
        <w:rPr/>
      </w:r>
    </w:p>
    <w:p>
      <w:pPr>
        <w:pStyle w:val="Normal"/>
        <w:rPr>
          <w:b/>
        </w:rPr>
      </w:pPr>
      <w:r>
        <w:rPr>
          <w:b/>
        </w:rPr>
        <w:t>III.</w:t>
        <w:tab/>
        <w:t>Rate Design</w:t>
      </w:r>
    </w:p>
    <w:p>
      <w:pPr>
        <w:pStyle w:val="Normal"/>
        <w:rPr>
          <w:b/>
        </w:rPr>
      </w:pPr>
      <w:r>
        <w:rPr>
          <w:b/>
        </w:rPr>
      </w:r>
    </w:p>
    <w:p>
      <w:pPr>
        <w:pStyle w:val="Normal"/>
        <w:rPr>
          <w:b/>
        </w:rPr>
      </w:pPr>
      <w:r>
        <w:rPr>
          <w:b/>
        </w:rPr>
        <w:tab/>
        <w:t>A.</w:t>
        <w:tab/>
        <w:t>Primary Proposal</w:t>
      </w:r>
    </w:p>
    <w:p>
      <w:pPr>
        <w:pStyle w:val="Normal"/>
        <w:rPr>
          <w:b/>
        </w:rPr>
      </w:pPr>
      <w:r>
        <w:rPr>
          <w:b/>
        </w:rPr>
      </w:r>
    </w:p>
    <w:p>
      <w:pPr>
        <w:pStyle w:val="Normal"/>
        <w:ind w:hanging="720" w:start="2160" w:end="0"/>
        <w:rPr/>
      </w:pPr>
      <w:r>
        <w:rPr>
          <w:rFonts w:eastAsia="Symbol" w:cs="Symbol" w:ascii="Symbol" w:hAnsi="Symbol"/>
        </w:rPr>
        <w:sym w:font="Symbol" w:char="f0b7"/>
      </w:r>
      <w:r>
        <w:rPr/>
        <w:tab/>
        <w:t>Two Part Time of Use Rates – rate unchanged for customer’s normal load (87 percent of baseline) and market prices for energy consumption above that.</w:t>
      </w:r>
    </w:p>
    <w:p>
      <w:pPr>
        <w:pStyle w:val="Normal"/>
        <w:ind w:hanging="720" w:start="2160" w:end="0"/>
        <w:rPr/>
      </w:pPr>
      <w:r>
        <w:rPr/>
      </w:r>
    </w:p>
    <w:p>
      <w:pPr>
        <w:pStyle w:val="Normal"/>
        <w:ind w:hanging="720" w:start="2880" w:end="0"/>
        <w:rPr/>
      </w:pPr>
      <w:r>
        <w:rPr>
          <w:rFonts w:eastAsia="Symbol" w:cs="Symbol" w:ascii="Symbol" w:hAnsi="Symbol"/>
        </w:rPr>
        <w:sym w:font="Symbol" w:char="f0b7"/>
      </w:r>
      <w:r>
        <w:rPr/>
        <w:tab/>
        <w:t>Explanation as to how baseline is derived (same month, prior year) and how you deal with problems  (e.g., customer does not have prior year usage; customer has significant change in processes).</w:t>
      </w:r>
    </w:p>
    <w:p>
      <w:pPr>
        <w:pStyle w:val="Normal"/>
        <w:ind w:hanging="720" w:start="2880" w:end="0"/>
        <w:rPr/>
      </w:pPr>
      <w:r>
        <w:rPr/>
      </w:r>
    </w:p>
    <w:p>
      <w:pPr>
        <w:pStyle w:val="Normal"/>
        <w:ind w:hanging="720" w:start="2880" w:end="0"/>
        <w:rPr/>
      </w:pPr>
      <w:r>
        <w:rPr>
          <w:rFonts w:eastAsia="Symbol" w:cs="Symbol" w:ascii="Symbol" w:hAnsi="Symbol"/>
        </w:rPr>
        <w:sym w:font="Symbol" w:char="f0b7"/>
      </w:r>
      <w:r>
        <w:rPr/>
        <w:tab/>
        <w:t>Explanation of the market price to be used (Dow Jones indices) and why these indices are the best marginal price signals)</w:t>
      </w:r>
    </w:p>
    <w:p>
      <w:pPr>
        <w:pStyle w:val="Normal"/>
        <w:ind w:hanging="720" w:start="2880" w:end="0"/>
        <w:rPr/>
      </w:pPr>
      <w:r>
        <w:rPr/>
      </w:r>
    </w:p>
    <w:p>
      <w:pPr>
        <w:pStyle w:val="Normal"/>
        <w:ind w:hanging="720" w:start="2880" w:end="0"/>
        <w:rPr/>
      </w:pPr>
      <w:r>
        <w:rPr>
          <w:rFonts w:eastAsia="Symbol" w:cs="Symbol" w:ascii="Symbol" w:hAnsi="Symbol"/>
        </w:rPr>
        <w:sym w:font="Symbol" w:char="f0b7"/>
      </w:r>
      <w:r>
        <w:rPr/>
        <w:tab/>
        <w:t>Explanation of decremental credit</w:t>
      </w:r>
    </w:p>
    <w:p>
      <w:pPr>
        <w:pStyle w:val="Normal"/>
        <w:ind w:hanging="720" w:start="2880" w:end="0"/>
        <w:rPr/>
      </w:pPr>
      <w:r>
        <w:rPr/>
      </w:r>
    </w:p>
    <w:p>
      <w:pPr>
        <w:pStyle w:val="Normal"/>
        <w:ind w:start="1440" w:end="0"/>
        <w:rPr/>
      </w:pPr>
      <w:r>
        <w:rPr>
          <w:rFonts w:eastAsia="Symbol" w:cs="Symbol" w:ascii="Symbol" w:hAnsi="Symbol"/>
        </w:rPr>
        <w:sym w:font="Symbol" w:char="f0b7"/>
      </w:r>
      <w:r>
        <w:rPr/>
        <w:tab/>
        <w:t xml:space="preserve">Explanation of how proposal meets rate design goals       </w:t>
      </w:r>
    </w:p>
    <w:p>
      <w:pPr>
        <w:pStyle w:val="Normal"/>
        <w:ind w:hanging="720" w:start="1440" w:end="0"/>
        <w:rPr/>
      </w:pPr>
      <w:r>
        <w:rPr/>
      </w:r>
    </w:p>
    <w:p>
      <w:pPr>
        <w:pStyle w:val="Normal"/>
        <w:ind w:hanging="720" w:start="2880" w:end="0"/>
        <w:rPr/>
      </w:pPr>
      <w:r>
        <w:rPr>
          <w:rFonts w:eastAsia="Symbol" w:cs="Symbol" w:ascii="Symbol" w:hAnsi="Symbol"/>
        </w:rPr>
        <w:sym w:font="Symbol" w:char="f0b7"/>
      </w:r>
      <w:r>
        <w:rPr/>
        <w:tab/>
        <w:t xml:space="preserve">Appropriate price signal – tying this into goal of ACR to promote conservation  </w:t>
      </w:r>
    </w:p>
    <w:p>
      <w:pPr>
        <w:pStyle w:val="Normal"/>
        <w:rPr>
          <w:b/>
        </w:rPr>
      </w:pPr>
      <w:r>
        <w:rPr>
          <w:b/>
        </w:rPr>
        <w:t xml:space="preserve"> </w:t>
      </w:r>
      <w:r>
        <w:rPr>
          <w:b/>
        </w:rPr>
        <w:tab/>
        <w:tab/>
        <w:tab/>
      </w:r>
    </w:p>
    <w:p>
      <w:pPr>
        <w:pStyle w:val="Normal"/>
        <w:ind w:hanging="720" w:start="2880" w:end="0"/>
        <w:rPr/>
      </w:pPr>
      <w:r>
        <w:rPr>
          <w:rFonts w:eastAsia="Symbol" w:cs="Symbol" w:ascii="Symbol" w:hAnsi="Symbol"/>
        </w:rPr>
        <w:sym w:font="Symbol" w:char="f0b7"/>
      </w:r>
      <w:r>
        <w:rPr>
          <w:b/>
        </w:rPr>
        <w:tab/>
        <w:t>A</w:t>
      </w:r>
      <w:r>
        <w:rPr/>
        <w:t>chieve targeted revenue requirement – explanation of why the $300/Mwh annual average market price is a good assumption.  And if it holds true how that translates into approximately three cents/kWh for the TOU rate schedules</w:t>
      </w:r>
    </w:p>
    <w:p>
      <w:pPr>
        <w:pStyle w:val="Normal"/>
        <w:ind w:hanging="720" w:start="2880" w:end="0"/>
        <w:rPr/>
      </w:pPr>
      <w:r>
        <w:rPr/>
      </w:r>
    </w:p>
    <w:p>
      <w:pPr>
        <w:pStyle w:val="Normal"/>
        <w:ind w:hanging="720" w:start="3600" w:end="0"/>
        <w:rPr/>
      </w:pPr>
      <w:r>
        <w:rPr>
          <w:rFonts w:eastAsia="Symbol" w:cs="Symbol" w:ascii="Symbol" w:hAnsi="Symbol"/>
        </w:rPr>
        <w:sym w:font="Symbol" w:char="f0b7"/>
      </w:r>
      <w:r>
        <w:rPr/>
        <w:tab/>
        <w:t>Within this discussion include discussion of how proposal does not violate the rate freeze</w:t>
      </w:r>
    </w:p>
    <w:p>
      <w:pPr>
        <w:pStyle w:val="Normal"/>
        <w:ind w:hanging="720" w:start="2880" w:end="0"/>
        <w:rPr/>
      </w:pPr>
      <w:r>
        <w:rPr/>
      </w:r>
    </w:p>
    <w:p>
      <w:pPr>
        <w:pStyle w:val="Normal"/>
        <w:ind w:hanging="720" w:start="2880" w:end="0"/>
        <w:rPr/>
      </w:pPr>
      <w:r>
        <w:rPr>
          <w:rFonts w:eastAsia="Symbol" w:cs="Symbol" w:ascii="Symbol" w:hAnsi="Symbol"/>
        </w:rPr>
        <w:sym w:font="Symbol" w:char="f0b7"/>
      </w:r>
      <w:r>
        <w:rPr/>
        <w:tab/>
        <w:t xml:space="preserve">Treat all customers in a similar manner – our proposal does not deal with all customers, just those within a particular class.  So should the goal be to treat all customers within a class in a similar manner (tying this into the ACR of equity)  </w:t>
      </w:r>
    </w:p>
    <w:p>
      <w:pPr>
        <w:pStyle w:val="Normal"/>
        <w:ind w:hanging="720" w:start="2880" w:end="0"/>
        <w:rPr/>
      </w:pPr>
      <w:r>
        <w:rPr/>
      </w:r>
    </w:p>
    <w:p>
      <w:pPr>
        <w:pStyle w:val="Normal"/>
        <w:ind w:hanging="720" w:start="2880" w:end="0"/>
        <w:rPr/>
      </w:pPr>
      <w:r>
        <w:rPr>
          <w:rFonts w:eastAsia="Symbol" w:cs="Symbol" w:ascii="Symbol" w:hAnsi="Symbol"/>
        </w:rPr>
        <w:sym w:font="Symbol" w:char="f0b7"/>
      </w:r>
      <w:r>
        <w:rPr/>
        <w:tab/>
        <w:t xml:space="preserve">Easy to administer and understand  -- we will need to discuss the complexity of deriving historical loads as well as what it would take the UDCs to implement the use of market prices.  </w:t>
      </w:r>
    </w:p>
    <w:p>
      <w:pPr>
        <w:pStyle w:val="Normal"/>
        <w:ind w:hanging="720" w:start="2880" w:end="0"/>
        <w:rPr/>
      </w:pPr>
      <w:r>
        <w:rPr/>
      </w:r>
    </w:p>
    <w:p>
      <w:pPr>
        <w:pStyle w:val="Normal"/>
        <w:ind w:hanging="630" w:start="1440" w:end="0"/>
        <w:rPr>
          <w:b/>
        </w:rPr>
      </w:pPr>
      <w:r>
        <w:rPr>
          <w:b/>
        </w:rPr>
        <w:t>B.</w:t>
        <w:tab/>
        <w:t>Alternative Interim Proposal</w:t>
      </w:r>
    </w:p>
    <w:p>
      <w:pPr>
        <w:pStyle w:val="Normal"/>
        <w:ind w:start="1440" w:end="0"/>
        <w:rPr>
          <w:b/>
        </w:rPr>
      </w:pPr>
      <w:r>
        <w:rPr>
          <w:b/>
        </w:rPr>
      </w:r>
    </w:p>
    <w:p>
      <w:pPr>
        <w:pStyle w:val="Normal"/>
        <w:ind w:start="1440" w:end="0"/>
        <w:rPr/>
      </w:pPr>
      <w:r>
        <w:rPr>
          <w:rFonts w:eastAsia="Symbol" w:cs="Symbol" w:ascii="Symbol" w:hAnsi="Symbol"/>
          <w:b/>
        </w:rPr>
        <w:sym w:font="Symbol" w:char="f0b7"/>
      </w:r>
      <w:r>
        <w:rPr>
          <w:b/>
        </w:rPr>
        <w:tab/>
      </w:r>
      <w:r>
        <w:rPr/>
        <w:t>Uniform three cents per kwh surcharge on energy consumed</w:t>
      </w:r>
      <w:r>
        <w:rPr>
          <w:b/>
        </w:rPr>
        <w:t xml:space="preserve"> </w:t>
      </w:r>
    </w:p>
    <w:p>
      <w:pPr>
        <w:pStyle w:val="Normal"/>
        <w:rPr/>
      </w:pPr>
      <w:r>
        <w:rPr/>
        <w:tab/>
        <w:tab/>
        <w:tab/>
        <w:t>(note – would this apply to all customers or just TOU)</w:t>
      </w:r>
    </w:p>
    <w:p>
      <w:pPr>
        <w:pStyle w:val="Normal"/>
        <w:rPr/>
      </w:pPr>
      <w:r>
        <w:rPr/>
      </w:r>
    </w:p>
    <w:p>
      <w:pPr>
        <w:pStyle w:val="Normal"/>
        <w:ind w:hanging="720" w:start="2160" w:end="0"/>
        <w:rPr/>
      </w:pPr>
      <w:r>
        <w:rPr>
          <w:rFonts w:eastAsia="Symbol" w:cs="Symbol" w:ascii="Symbol" w:hAnsi="Symbol"/>
        </w:rPr>
        <w:sym w:font="Symbol" w:char="f0b7"/>
      </w:r>
      <w:r>
        <w:rPr/>
        <w:tab/>
        <w:t xml:space="preserve">We did not justify this alternative in our testimony – why is this a good thing?  Or are we just saying that it is the easiest to put into place for a few months until our real proposal is adopted? </w:t>
      </w:r>
    </w:p>
    <w:p>
      <w:pPr>
        <w:pStyle w:val="Normal"/>
        <w:ind w:hanging="720" w:start="2160" w:end="0"/>
        <w:rPr/>
      </w:pPr>
      <w:r>
        <w:rPr/>
      </w:r>
    </w:p>
    <w:p>
      <w:pPr>
        <w:pStyle w:val="Normal"/>
        <w:ind w:start="900" w:end="0"/>
        <w:rPr>
          <w:b/>
        </w:rPr>
      </w:pPr>
      <w:r>
        <w:rPr>
          <w:b/>
        </w:rPr>
        <w:t>C.</w:t>
        <w:tab/>
        <w:t>Summer Peak Proposal</w:t>
      </w:r>
    </w:p>
    <w:p>
      <w:pPr>
        <w:pStyle w:val="Normal"/>
        <w:ind w:start="900" w:end="0"/>
        <w:rPr>
          <w:b/>
        </w:rPr>
      </w:pPr>
      <w:r>
        <w:rPr>
          <w:b/>
        </w:rPr>
      </w:r>
    </w:p>
    <w:p>
      <w:pPr>
        <w:pStyle w:val="Normal"/>
        <w:ind w:hanging="720" w:start="2160" w:end="0"/>
        <w:rPr/>
      </w:pPr>
      <w:r>
        <w:rPr>
          <w:rFonts w:eastAsia="Symbol" w:cs="Symbol" w:ascii="Symbol" w:hAnsi="Symbol"/>
        </w:rPr>
        <w:sym w:font="Symbol" w:char="f0b7"/>
      </w:r>
      <w:r>
        <w:rPr/>
        <w:tab/>
        <w:t>Like it or not, the Commission may be heading towards one of the myriad of proposals that have loaded costs into summer peak periods. Given that, we should strongly consider picking one of these proposals and throwing limited support behind it.  I take it from the analysis Scott has done, that perhaps PG&amp;E’s and or ORA’s may be the one to support.</w:t>
      </w:r>
    </w:p>
    <w:p>
      <w:pPr>
        <w:pStyle w:val="Normal"/>
        <w:ind w:hanging="720" w:start="2160" w:end="0"/>
        <w:rPr/>
      </w:pPr>
      <w:r>
        <w:rPr/>
      </w:r>
    </w:p>
    <w:p>
      <w:pPr>
        <w:pStyle w:val="Normal"/>
        <w:rPr>
          <w:b/>
        </w:rPr>
      </w:pPr>
      <w:r>
        <w:rPr>
          <w:b/>
        </w:rPr>
        <w:t>IV.</w:t>
        <w:tab/>
        <w:t>Conclusion</w:t>
      </w:r>
    </w:p>
    <w:p>
      <w:pPr>
        <w:pStyle w:val="Normal"/>
        <w:ind w:hanging="720" w:start="2160" w:end="0"/>
        <w:rPr/>
      </w:pPr>
      <w:r>
        <w:rPr/>
        <w:t xml:space="preserve">   </w:t>
      </w:r>
      <w:r>
        <w:rPr/>
        <w:tab/>
        <w:tab/>
      </w:r>
    </w:p>
    <w:p>
      <w:pPr>
        <w:pStyle w:val="Normal"/>
        <w:rPr>
          <w:b/>
        </w:rPr>
      </w:pPr>
      <w:r>
        <w:rPr>
          <w:b/>
        </w:rPr>
        <w:tab/>
      </w:r>
    </w:p>
    <w:p>
      <w:pPr>
        <w:pStyle w:val="Normal"/>
        <w:spacing w:lineRule="exact" w:line="200" w:before="240" w:after="0"/>
        <w:rPr/>
      </w:pPr>
      <w:r>
        <w:rPr>
          <w:rStyle w:val="zzmpTrailerItem"/>
        </w:rPr>
        <w:t>2704/147/X23731-1</w:t>
      </w:r>
      <w:r>
        <w:rPr/>
        <w:t xml:space="preserve"> </w:t>
      </w:r>
    </w:p>
    <w:sectPr>
      <w:headerReference w:type="default" r:id="rId2"/>
      <w:type w:val="nextPage"/>
      <w:pgSz w:w="12240" w:h="15840"/>
      <w:pgMar w:left="1440" w:right="1440" w:gutter="0" w:header="720" w:top="1152" w:footer="0"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_MacPacVersion" w:val="97"/>
    <w:docVar w:name="zzmpFixedDOC_ID" w:val="2704/147/X23731-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rPr>
      <w:sz w:val="22"/>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2001-04-18T22:51:00Z</dcterms:created>
  <dc:creator>JMB</dc:creator>
  <dc:description/>
  <dc:language>en-CA</dc:language>
  <cp:lastModifiedBy>JMB</cp:lastModifiedBy>
  <dcterms:modified xsi:type="dcterms:W3CDTF">2001-04-18T22:51:00Z</dcterms:modified>
  <cp:revision>2</cp:revision>
  <dc:subject/>
  <dc:title/>
</cp:coreProperties>
</file>