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SCE Advice Letters</w:t>
      </w:r>
    </w:p>
    <w:p>
      <w:pPr>
        <w:pStyle w:val="Normal"/>
        <w:rPr>
          <w:b/>
        </w:rPr>
      </w:pPr>
      <w:r>
        <w:rPr>
          <w:b/>
        </w:rPr>
      </w:r>
    </w:p>
    <w:p>
      <w:pPr>
        <w:pStyle w:val="Normal"/>
        <w:rPr>
          <w:b/>
        </w:rPr>
      </w:pPr>
      <w:r>
        <w:rPr>
          <w:b/>
        </w:rPr>
        <w:t>Advice 1533-E  (Tariff Specific Generation Rates)</w:t>
      </w:r>
    </w:p>
    <w:p>
      <w:pPr>
        <w:pStyle w:val="Normal"/>
        <w:rPr>
          <w:b/>
        </w:rPr>
      </w:pPr>
      <w:r>
        <w:rPr>
          <w:b/>
        </w:rPr>
      </w:r>
    </w:p>
    <w:p>
      <w:pPr>
        <w:pStyle w:val="Normal"/>
        <w:jc w:val="both"/>
        <w:rPr/>
      </w:pPr>
      <w:r>
        <w:rPr/>
        <w:t>Revises SCE’s Tariffs to “implement the more precise billing methodology “ for calculation of the portion of customers’ bills that will be remitted to the CDWR as required by Decision 01-03-081.  In short the DWR supplied kilowatt-hours for each customer is suppose to be multiplied by the customer’s tariff schedule specific generation rate.</w:t>
      </w:r>
    </w:p>
    <w:p>
      <w:pPr>
        <w:pStyle w:val="Normal"/>
        <w:jc w:val="both"/>
        <w:rPr/>
      </w:pPr>
      <w:r>
        <w:rPr/>
      </w:r>
    </w:p>
    <w:p>
      <w:pPr>
        <w:pStyle w:val="Normal"/>
        <w:jc w:val="both"/>
        <w:rPr/>
      </w:pPr>
      <w:r>
        <w:rPr/>
        <w:t>The advice filing sets forth the per kWh average generation related rate for each rate schedule.  SCE stated that it calculated the schedule specific generation related rate components based on the rate levels in effect on 1/05/01, which included the one-cent surcharge.</w:t>
      </w:r>
    </w:p>
    <w:p>
      <w:pPr>
        <w:pStyle w:val="Normal"/>
        <w:jc w:val="both"/>
        <w:rPr/>
      </w:pPr>
      <w:r>
        <w:rPr/>
      </w:r>
    </w:p>
    <w:p>
      <w:pPr>
        <w:pStyle w:val="Normal"/>
        <w:jc w:val="both"/>
        <w:rPr/>
      </w:pPr>
      <w:r>
        <w:rPr/>
        <w:t>SCE recognizes that the Commission directed it to add the 3 cent / kWh surcharge to the generation related rate for the purposes of all calculations required to transfer funds to DWR.  SCE states that it cannot provide the additional three cents to DWR until it starts getting it in rates.</w:t>
      </w:r>
    </w:p>
    <w:p>
      <w:pPr>
        <w:pStyle w:val="Normal"/>
        <w:jc w:val="both"/>
        <w:rPr/>
      </w:pPr>
      <w:r>
        <w:rPr/>
      </w:r>
    </w:p>
    <w:p>
      <w:pPr>
        <w:pStyle w:val="Normal"/>
        <w:jc w:val="both"/>
        <w:rPr/>
      </w:pPr>
      <w:r>
        <w:rPr/>
        <w:t>Given billing system constraints,  SCE asks that the advice letter become effective on the later of thirty days from approval or June 1 so as to allow it to coordinate the necessary billing system changes with the rate design changes necessary to implement the three cent rate increase.</w:t>
      </w:r>
    </w:p>
    <w:p>
      <w:pPr>
        <w:pStyle w:val="Normal"/>
        <w:jc w:val="both"/>
        <w:rPr/>
      </w:pPr>
      <w:r>
        <w:rPr/>
      </w:r>
    </w:p>
    <w:p>
      <w:pPr>
        <w:pStyle w:val="Normal"/>
        <w:jc w:val="both"/>
        <w:rPr>
          <w:b/>
        </w:rPr>
      </w:pPr>
      <w:r>
        <w:rPr>
          <w:b/>
        </w:rPr>
        <w:t xml:space="preserve">Advice 1534-E  (Ensuring Recovery of All Purchase Power Costs) </w:t>
      </w:r>
    </w:p>
    <w:p>
      <w:pPr>
        <w:pStyle w:val="Normal"/>
        <w:jc w:val="both"/>
        <w:rPr>
          <w:b/>
        </w:rPr>
      </w:pPr>
      <w:r>
        <w:rPr>
          <w:b/>
        </w:rPr>
      </w:r>
    </w:p>
    <w:p>
      <w:pPr>
        <w:pStyle w:val="Normal"/>
        <w:jc w:val="both"/>
        <w:rPr/>
      </w:pPr>
      <w:r>
        <w:rPr/>
        <w:t>This advice filing starts the process of implementing the MOU with DWR (endorsed by the Governor). Under that MOU, SCE is entitled to collect revenues for its Utility Retained Generation sufficient to cover its costs on a timely basis.</w:t>
      </w:r>
    </w:p>
    <w:p>
      <w:pPr>
        <w:pStyle w:val="Normal"/>
        <w:jc w:val="both"/>
        <w:rPr/>
      </w:pPr>
      <w:r>
        <w:rPr/>
      </w:r>
    </w:p>
    <w:p>
      <w:pPr>
        <w:pStyle w:val="Normal"/>
        <w:jc w:val="both"/>
        <w:rPr/>
      </w:pPr>
      <w:r>
        <w:rPr/>
        <w:t>The advice establishes four separate balancing accounts: (1) the SCE Utility Retained Generation Balancing Account; (2) the SCE Contracts Balancing Account; (3) the DWR Costs Balancing Account; (4) the Ancillary Services Balancing Account.  In conjunction with establishing the four accounts, the filing dedicates a portion of SCE’s residually determined generation rate and Commission approved surcharges between the four balancing accounts based on estimated costs for a twelve month period and establishes a Generation Rate Trigger mechanism.</w:t>
      </w:r>
    </w:p>
    <w:p>
      <w:pPr>
        <w:pStyle w:val="Normal"/>
        <w:jc w:val="both"/>
        <w:rPr/>
      </w:pPr>
      <w:r>
        <w:rPr/>
      </w:r>
    </w:p>
    <w:p>
      <w:pPr>
        <w:pStyle w:val="Normal"/>
        <w:jc w:val="both"/>
        <w:rPr/>
      </w:pPr>
      <w:r>
        <w:rPr/>
        <w:t>SCE has determined that on annual basis its residually determined generation rate plus surcharges will be 10.84 cents per kWh.  SCE has divided the 10.84 cents as follows:</w:t>
      </w:r>
    </w:p>
    <w:p>
      <w:pPr>
        <w:pStyle w:val="Normal"/>
        <w:jc w:val="both"/>
        <w:rPr/>
      </w:pPr>
      <w:r>
        <w:rPr/>
        <w:tab/>
      </w:r>
    </w:p>
    <w:p>
      <w:pPr>
        <w:pStyle w:val="Normal"/>
        <w:ind w:hanging="720" w:start="1440" w:end="0"/>
        <w:jc w:val="both"/>
        <w:rPr/>
      </w:pPr>
      <w:r>
        <w:rPr>
          <w:rFonts w:eastAsia="Symbol" w:cs="Symbol" w:ascii="Symbol" w:hAnsi="Symbol"/>
        </w:rPr>
        <w:sym w:font="Symbol" w:char="f0b7"/>
      </w:r>
      <w:r>
        <w:rPr/>
        <w:tab/>
        <w:t>The portion of the 10.84 cents that is surcharge related (4 cents) should be used to pay for future power costs.  SCE allocated the 4 cents between three of the four balancing accounts (omitting the URG account)</w:t>
      </w:r>
    </w:p>
    <w:p>
      <w:pPr>
        <w:pStyle w:val="Normal"/>
        <w:ind w:start="720" w:end="0"/>
        <w:jc w:val="both"/>
        <w:rPr/>
      </w:pPr>
      <w:r>
        <w:rPr/>
      </w:r>
    </w:p>
    <w:p>
      <w:pPr>
        <w:pStyle w:val="Normal"/>
        <w:ind w:hanging="720" w:start="1440" w:end="0"/>
        <w:jc w:val="both"/>
        <w:rPr/>
      </w:pPr>
      <w:r>
        <w:rPr>
          <w:rFonts w:eastAsia="Symbol" w:cs="Symbol" w:ascii="Symbol" w:hAnsi="Symbol"/>
        </w:rPr>
        <w:sym w:font="Symbol" w:char="f0b7"/>
      </w:r>
      <w:r>
        <w:rPr/>
        <w:tab/>
        <w:t>The remaining 6.84 cents will be available to recover costs recorded in the URG account.  As the fully compensatory URG rate is estimated at 2.24 cents, the lower amount will be used at the basis for recording revenues in the URG account.</w:t>
      </w:r>
    </w:p>
    <w:p>
      <w:pPr>
        <w:pStyle w:val="Normal"/>
        <w:ind w:start="720" w:end="0"/>
        <w:jc w:val="both"/>
        <w:rPr/>
      </w:pPr>
      <w:r>
        <w:rPr/>
      </w:r>
    </w:p>
    <w:p>
      <w:pPr>
        <w:pStyle w:val="Normal"/>
        <w:ind w:hanging="720" w:start="1440" w:end="0"/>
        <w:jc w:val="both"/>
        <w:rPr/>
      </w:pPr>
      <w:r>
        <w:rPr>
          <w:rFonts w:eastAsia="Symbol" w:cs="Symbol" w:ascii="Symbol" w:hAnsi="Symbol"/>
        </w:rPr>
        <w:sym w:font="Symbol" w:char="f0b7"/>
      </w:r>
      <w:r>
        <w:rPr/>
        <w:tab/>
        <w:t>The difference between the 6.84 cents available for recover of URG costs and the 2.24 cents necessary (i.e., 4.6 cents) will allocated between the three remaining three accounts.</w:t>
      </w:r>
    </w:p>
    <w:p>
      <w:pPr>
        <w:pStyle w:val="Normal"/>
        <w:ind w:start="720" w:end="0"/>
        <w:jc w:val="both"/>
        <w:rPr/>
      </w:pPr>
      <w:r>
        <w:rPr/>
      </w:r>
    </w:p>
    <w:p>
      <w:pPr>
        <w:pStyle w:val="Normal"/>
        <w:ind w:hanging="720" w:start="1440" w:end="0"/>
        <w:jc w:val="both"/>
        <w:rPr/>
      </w:pPr>
      <w:r>
        <w:rPr>
          <w:rFonts w:eastAsia="Symbol" w:cs="Symbol" w:ascii="Symbol" w:hAnsi="Symbol"/>
        </w:rPr>
        <w:sym w:font="Symbol" w:char="f0b7"/>
      </w:r>
      <w:r>
        <w:rPr>
          <w:rFonts w:cs="Symbol" w:ascii="Symbol" w:hAnsi="Symbol"/>
        </w:rPr>
        <w:tab/>
        <w:sym w:font="Symbol" w:char="f054"/>
      </w:r>
      <w:r>
        <w:rPr/>
        <w:t xml:space="preserve">hese allocations result in estimated dedicated rate components.  On a monthly basis, the estimated dedicated rate component will be multiplied b recorded GWh sales to determine the amount of revenue to be recorded in each of the four balancing accounts.  </w:t>
      </w:r>
    </w:p>
    <w:p>
      <w:pPr>
        <w:pStyle w:val="Normal"/>
        <w:ind w:hanging="720" w:start="1440" w:end="0"/>
        <w:jc w:val="both"/>
        <w:rPr/>
      </w:pPr>
      <w:r>
        <w:rPr/>
      </w:r>
    </w:p>
    <w:p>
      <w:pPr>
        <w:pStyle w:val="Normal"/>
        <w:ind w:start="720" w:end="0"/>
        <w:jc w:val="both"/>
        <w:rPr/>
      </w:pPr>
      <w:r>
        <w:rPr/>
        <w:t>SCE has determined that the three purchase power related balancing accounts (i.e., all but the URG account) would be under-collected after the first month of operation.  Because SCE cannot finance such undercollection, a trigger mechanism must be established to allow SCE to recover its actual purchase power related costs.  SCE will sum the balance in the three accounts on a monthly basis. If at the end of any month the sum of these balances is equal to or greater that $500 million either over or undercollected, SCE will notify the Commission through advice filing of the rate adjustment that is necessary.</w:t>
      </w:r>
    </w:p>
    <w:p>
      <w:pPr>
        <w:pStyle w:val="Normal"/>
        <w:ind w:start="720" w:end="0"/>
        <w:jc w:val="both"/>
        <w:rPr/>
      </w:pPr>
      <w:r>
        <w:rPr/>
      </w:r>
    </w:p>
    <w:p>
      <w:pPr>
        <w:pStyle w:val="Normal"/>
        <w:ind w:start="720" w:end="0"/>
        <w:jc w:val="both"/>
        <w:rPr/>
      </w:pPr>
      <w:r>
        <w:rPr/>
        <w:t>SCE states that it will implement the four new balancing accounts and associated dedicated rate components effective 4/1/01.</w:t>
      </w:r>
    </w:p>
    <w:p>
      <w:pPr>
        <w:pStyle w:val="Normal"/>
        <w:ind w:start="720" w:end="0"/>
        <w:jc w:val="both"/>
        <w:rPr/>
      </w:pPr>
      <w:r>
        <w:rPr/>
      </w:r>
    </w:p>
    <w:p>
      <w:pPr>
        <w:pStyle w:val="Normal"/>
        <w:ind w:start="720" w:end="0"/>
        <w:jc w:val="both"/>
        <w:rPr/>
      </w:pPr>
      <w:r>
        <w:rPr/>
      </w:r>
    </w:p>
    <w:p>
      <w:pPr>
        <w:pStyle w:val="Normal"/>
        <w:ind w:start="90" w:end="0"/>
        <w:jc w:val="both"/>
        <w:rPr>
          <w:b/>
        </w:rPr>
      </w:pPr>
      <w:r>
        <w:rPr>
          <w:b/>
        </w:rPr>
        <w:t>Advice 1535-E  (Restatement of TCBA)</w:t>
      </w:r>
    </w:p>
    <w:p>
      <w:pPr>
        <w:pStyle w:val="Normal"/>
        <w:ind w:start="90" w:end="0"/>
        <w:jc w:val="both"/>
        <w:rPr>
          <w:b/>
        </w:rPr>
      </w:pPr>
      <w:r>
        <w:rPr>
          <w:b/>
        </w:rPr>
      </w:r>
    </w:p>
    <w:p>
      <w:pPr>
        <w:pStyle w:val="Normal"/>
        <w:ind w:start="720" w:end="0"/>
        <w:jc w:val="both"/>
        <w:rPr/>
      </w:pPr>
      <w:r>
        <w:rPr/>
        <w:t xml:space="preserve">In accordance with Decision 01-03-082, which adopted the TURN accounting proposal, SCE restated the balance in its TCBA.  As of the end of 2000, SCE states that new balance is $2.360 billion.   As of the end of February 2001, that balance had grown to $3.419.      </w:t>
      </w:r>
    </w:p>
    <w:p>
      <w:pPr>
        <w:pStyle w:val="Normal"/>
        <w:ind w:hanging="720" w:start="1440" w:end="0"/>
        <w:jc w:val="both"/>
        <w:rPr/>
      </w:pPr>
      <w:r>
        <w:rPr/>
        <w:t xml:space="preserve">      </w:t>
      </w:r>
    </w:p>
    <w:p>
      <w:pPr>
        <w:pStyle w:val="Normal"/>
        <w:spacing w:lineRule="exact" w:line="200" w:before="240" w:after="0"/>
        <w:rPr/>
      </w:pPr>
      <w:r>
        <w:rPr>
          <w:rStyle w:val="zzmpTrailerItem"/>
        </w:rPr>
        <w:t>2704/147/X23609-1</w:t>
      </w:r>
      <w:r>
        <w:rPr/>
        <w:t xml:space="preserve"> </w:t>
      </w:r>
    </w:p>
    <w:sectPr>
      <w:headerReference w:type="default" r:id="rId2"/>
      <w:type w:val="nextPage"/>
      <w:pgSz w:w="12240" w:h="15840"/>
      <w:pgMar w:left="1440" w:right="1440" w:gutter="0" w:header="720" w:top="1152" w:footer="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360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2001-04-15T16:58:00Z</dcterms:created>
  <dc:creator>JMB</dc:creator>
  <dc:description/>
  <dc:language>en-CA</dc:language>
  <cp:lastModifiedBy>JMB</cp:lastModifiedBy>
  <dcterms:modified xsi:type="dcterms:W3CDTF">2001-04-15T16:58:00Z</dcterms:modified>
  <cp:revision>2</cp:revision>
  <dc:subject/>
  <dc:title/>
</cp:coreProperties>
</file>