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POWER MARKETING, INC.</w:t>
      </w:r>
    </w:p>
    <w:p>
      <w:pPr>
        <w:pStyle w:val="Normal"/>
        <w:jc w:val="center"/>
        <w:rPr>
          <w:b/>
        </w:rPr>
      </w:pPr>
      <w:r>
        <w:rPr>
          <w:b/>
        </w:rPr>
        <w:t>ON MARCH 14, 2001 LETTER OF THE</w:t>
      </w:r>
    </w:p>
    <w:p>
      <w:pPr>
        <w:pStyle w:val="Normal"/>
        <w:jc w:val="center"/>
        <w:rPr>
          <w:b/>
        </w:rPr>
      </w:pPr>
      <w:r>
        <w:rPr>
          <w:b/>
        </w:rPr>
        <w:t>CALIFORNIA DEPARTMENT OF WATER RESOURCES</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March 21,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Power Marketing,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POWER MARKETING, INC.</w:t>
      </w:r>
    </w:p>
    <w:p>
      <w:pPr>
        <w:pStyle w:val="Normal"/>
        <w:jc w:val="center"/>
        <w:rPr>
          <w:b/>
        </w:rPr>
      </w:pPr>
      <w:r>
        <w:rPr>
          <w:b/>
        </w:rPr>
        <w:t>ON MARCH 14, 2001 LETTER OF THE</w:t>
      </w:r>
    </w:p>
    <w:p>
      <w:pPr>
        <w:pStyle w:val="Normal"/>
        <w:jc w:val="center"/>
        <w:rPr>
          <w:b/>
        </w:rPr>
      </w:pPr>
      <w:r>
        <w:rPr>
          <w:b/>
        </w:rPr>
        <w:t>CALIFORNIA DEPARTMENT OF WATER RESOURCES</w:t>
      </w:r>
    </w:p>
    <w:p>
      <w:pPr>
        <w:pStyle w:val="Normal"/>
        <w:jc w:val="center"/>
        <w:rPr>
          <w:b/>
        </w:rPr>
      </w:pPr>
      <w:r>
        <w:rPr>
          <w:b/>
        </w:rPr>
      </w:r>
    </w:p>
    <w:p>
      <w:pPr>
        <w:pStyle w:val="Normal"/>
        <w:spacing w:lineRule="auto" w:line="480"/>
        <w:ind w:firstLine="720" w:end="0"/>
        <w:jc w:val="both"/>
        <w:rPr/>
      </w:pPr>
      <w:r>
        <w:rPr/>
        <w:t xml:space="preserve">Pursuant to March 19, 2001 Ruling of the Assigned Administrative Law Judge, Enron Power Marketing Inc. (“EPMI”) comments on the March 14, 2001 letter of the California Department of Water Resources (“DWR”) to the California Public Utilities Commission (“Commission“).  Therein, DWR set forth its view of the manner in which the California Procurement Adjustment (“CPA”) should be determined, consistent with the applicable provisions of Assembly Bill X1-1. </w:t>
      </w:r>
    </w:p>
    <w:p>
      <w:pPr>
        <w:pStyle w:val="Normal"/>
        <w:spacing w:lineRule="auto" w:line="480"/>
        <w:ind w:firstLine="720" w:end="0"/>
        <w:jc w:val="both"/>
        <w:rPr/>
      </w:pPr>
      <w:r>
        <w:rPr/>
        <w:t xml:space="preserve"> </w:t>
      </w:r>
      <w:r>
        <w:rPr/>
        <w:t>As stated by DWR:</w:t>
      </w:r>
    </w:p>
    <w:p>
      <w:pPr>
        <w:pStyle w:val="Normal"/>
        <w:ind w:start="720" w:end="720"/>
        <w:jc w:val="both"/>
        <w:rPr/>
      </w:pPr>
      <w:r>
        <w:rPr/>
        <w:t xml:space="preserve">For compelling and practical reasons the Commission’s determination of the [CPA] is a critical element in the implementation of the ABX1-1.  It is the initial step in establishing an important revenue source for the Department in meeting its power purchase responsibilities. It is also important to any long-term or short term financing by the Department.   </w:t>
      </w:r>
    </w:p>
    <w:p>
      <w:pPr>
        <w:pStyle w:val="Normal"/>
        <w:ind w:start="720" w:end="720"/>
        <w:jc w:val="both"/>
        <w:rPr/>
      </w:pPr>
      <w:r>
        <w:rPr/>
      </w:r>
    </w:p>
    <w:p>
      <w:pPr>
        <w:pStyle w:val="Normal"/>
        <w:spacing w:lineRule="auto" w:line="480"/>
        <w:jc w:val="both"/>
        <w:rPr/>
      </w:pPr>
      <w:r>
        <w:rPr/>
        <w:t xml:space="preserve">EPMI agrees with DWR’s assessment of the critical nature of the development of the CPA.  Moreover, EPMI submits that DWR has presented the Commission with a reasonable interpretation of the applicable statutory language.  The provisions of ABX1-1 were designed with the intent to ensure that DWR had sufficient revenue to enable it to make the necessary power purchases for the state of California.  DWR’s interpretation of the statute such that the CPA would, itself, be a rate, assessable on a cents per kilowatt hour basis, is a significant step towards ensuring that DWR will be able to fulfill this statutory mandate.  The revenue stream that will be generated by such a CPA will not only provide DWR with an initial source of funds, but will also serve, consistent with Section 80130 of the Water Code, as a basis for determining the level of bond financing that DWR is authorized to effectuate to secure power.  The significance of the CPA to the overall financial integrity of the statutory construct pursuant to which DWR is operating, necessitates that the Commission implement a CPA mechanism which is works to facilitate, not impair or inflict uncertainty into DWR’s power purchasing activities.             </w:t>
      </w:r>
    </w:p>
    <w:p>
      <w:pPr>
        <w:pStyle w:val="Normal"/>
        <w:spacing w:lineRule="auto" w:line="480"/>
        <w:ind w:firstLine="720" w:end="0"/>
        <w:jc w:val="both"/>
        <w:rPr/>
      </w:pPr>
      <w:r>
        <w:rPr/>
        <w:t xml:space="preserve">  </w:t>
      </w:r>
      <w:r>
        <w:rPr/>
        <w:t>The Commission must act expeditiously to adopt the interpretation of the CPA mechanism set forth in DWR’s March 14, 2001 letter. The implementation of a CPA rate, as such is defined by DWR, is consistent with the statutory language and will be a positive first step towards ensuring DWR has the funds necessary to meet is statutory mandate under ABX1-1. EPMI would note, however, that in the establishment of a CPA rate (which is clearly a rate associated with the provision by the UDCs of the electric commodity), the Commission should clarify that that such would apply solely to UDC bundled service customers.  Customers in the state that continue to receive electric commodity service from alternate suppliers should not be made to pay for power from the UDC.</w:t>
      </w:r>
      <w:r>
        <w:br w:type="page"/>
      </w:r>
    </w:p>
    <w:p>
      <w:pPr>
        <w:pStyle w:val="Normal"/>
        <w:spacing w:lineRule="auto" w:line="480"/>
        <w:ind w:firstLine="720" w:end="0"/>
        <w:jc w:val="both"/>
        <w:rPr/>
      </w:pPr>
      <w:r>
        <w:rPr/>
        <w:t>Wherefore, the above stated reasons, the Commission should expeditiously adopt the interpretation of the CPA mechanism set forth in DWR’s March 14, 2001 letter, while ensuring that such CPA rate is assessed solely to utility bundled service customers.</w:t>
      </w:r>
    </w:p>
    <w:p>
      <w:pPr>
        <w:pStyle w:val="Normal"/>
        <w:spacing w:lineRule="auto" w:line="480"/>
        <w:ind w:firstLine="720" w:start="3600" w:end="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Power Marketing,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March 21, 2001</w:t>
      </w:r>
    </w:p>
    <w:p>
      <w:pPr>
        <w:pStyle w:val="Normal"/>
        <w:spacing w:lineRule="exact" w:line="200" w:before="240" w:after="0"/>
        <w:rPr/>
      </w:pPr>
      <w:r>
        <w:rPr>
          <w:rStyle w:val="zzmpTrailerItem"/>
        </w:rPr>
        <w:t>2704/148/X22873-1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8/X2287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2001-03-21T16:57:00Z</dcterms:created>
  <dc:creator>JMB</dc:creator>
  <dc:description/>
  <dc:language>en-CA</dc:language>
  <cp:lastModifiedBy>JMB</cp:lastModifiedBy>
  <dcterms:modified xsi:type="dcterms:W3CDTF">2001-03-21T16:57:00Z</dcterms:modified>
  <cp:revision>2</cp:revision>
  <dc:subject/>
  <dc:title/>
</cp:coreProperties>
</file>