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SB 27X (Bowen)</w:t>
      </w:r>
    </w:p>
    <w:p>
      <w:pPr>
        <w:pStyle w:val="Normal"/>
        <w:jc w:val="center"/>
        <w:rPr>
          <w:b/>
        </w:rPr>
      </w:pPr>
      <w:r>
        <w:rPr>
          <w:b/>
        </w:rPr>
        <w:t>As Proposed to be Amended</w:t>
      </w:r>
    </w:p>
    <w:p>
      <w:pPr>
        <w:pStyle w:val="Normal"/>
        <w:rPr>
          <w:b/>
        </w:rPr>
      </w:pPr>
      <w:r>
        <w:rPr>
          <w:b/>
        </w:rPr>
      </w:r>
    </w:p>
    <w:p>
      <w:pPr>
        <w:pStyle w:val="Normal"/>
        <w:rPr/>
      </w:pPr>
      <w:r>
        <w:rPr/>
      </w:r>
    </w:p>
    <w:p>
      <w:pPr>
        <w:pStyle w:val="Normal"/>
        <w:rPr/>
      </w:pPr>
      <w:r>
        <w:rPr/>
        <w:t>Strike from Water Code Section 80110:</w:t>
      </w:r>
    </w:p>
    <w:p>
      <w:pPr>
        <w:pStyle w:val="Normal"/>
        <w:rPr/>
      </w:pPr>
      <w:r>
        <w:rPr/>
      </w:r>
    </w:p>
    <w:p>
      <w:pPr>
        <w:pStyle w:val="Normal"/>
        <w:rPr>
          <w:strike/>
        </w:rPr>
      </w:pPr>
      <w:r>
        <w:rPr>
          <w:strike/>
        </w:rPr>
        <w: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w:t>
      </w:r>
    </w:p>
    <w:p>
      <w:pPr>
        <w:pStyle w:val="Normal"/>
        <w:rPr>
          <w:strike/>
        </w:rPr>
      </w:pPr>
      <w:r>
        <w:rPr>
          <w:strike/>
        </w:rPr>
      </w:r>
    </w:p>
    <w:p>
      <w:pPr>
        <w:pStyle w:val="Normal"/>
        <w:rPr/>
      </w:pPr>
      <w:r>
        <w:rPr/>
      </w:r>
    </w:p>
    <w:p>
      <w:pPr>
        <w:pStyle w:val="Normal"/>
        <w:rPr/>
      </w:pPr>
      <w:r>
        <w:rPr/>
        <w:t>Add Section 80111:</w:t>
      </w:r>
    </w:p>
    <w:p>
      <w:pPr>
        <w:pStyle w:val="Normal"/>
        <w:rPr/>
      </w:pPr>
      <w:r>
        <w:rPr/>
      </w:r>
    </w:p>
    <w:p>
      <w:pPr>
        <w:pStyle w:val="Normal"/>
        <w:rPr/>
      </w:pPr>
      <w:r>
        <w:rPr/>
        <w:t>80111.  (a)  As used in this section, the following terms have the following meanings:</w:t>
      </w:r>
    </w:p>
    <w:p>
      <w:pPr>
        <w:pStyle w:val="Normal"/>
        <w:rPr/>
      </w:pPr>
      <w:r>
        <w:rPr/>
      </w:r>
    </w:p>
    <w:p>
      <w:pPr>
        <w:pStyle w:val="Normal"/>
        <w:rPr/>
      </w:pPr>
      <w:r>
        <w:rPr/>
        <w:t>(1)  “Electrical corporation” means an electrical corporation, as defined in Section 218 of the Public Utilities, for the customers of which the department is procuring power pursuant to this division.</w:t>
      </w:r>
    </w:p>
    <w:p>
      <w:pPr>
        <w:pStyle w:val="Normal"/>
        <w:rPr/>
      </w:pPr>
      <w:r>
        <w:rPr/>
      </w:r>
    </w:p>
    <w:p>
      <w:pPr>
        <w:pStyle w:val="Normal"/>
        <w:rPr/>
      </w:pPr>
      <w:r>
        <w:rPr/>
        <w:t>(2)  “Alternate provider” means an entity, other than an electrical corporation, supplying electrical power within the service territory of an electrical corporation.</w:t>
      </w:r>
    </w:p>
    <w:p>
      <w:pPr>
        <w:pStyle w:val="Normal"/>
        <w:rPr/>
      </w:pPr>
      <w:r>
        <w:rPr/>
      </w:r>
    </w:p>
    <w:p>
      <w:pPr>
        <w:pStyle w:val="Normal"/>
        <w:rPr/>
      </w:pPr>
      <w:r>
        <w:rPr/>
        <w:t>(b)  The right of a retail end use customer who has not purchased power from an electrical corporation on or after January 17, 2001 to purchase power from an alternate provider may not be limited by this section.</w:t>
      </w:r>
    </w:p>
    <w:p>
      <w:pPr>
        <w:pStyle w:val="Normal"/>
        <w:rPr/>
      </w:pPr>
      <w:r>
        <w:rPr/>
      </w:r>
    </w:p>
    <w:p>
      <w:pPr>
        <w:pStyle w:val="Normal"/>
        <w:rPr/>
      </w:pPr>
      <w:r>
        <w:rPr/>
        <w:t>(c)  The right of a retail end use customer who purchases power from an electrical corporation to purchase power from an alternate provider for an increment of its power usage equivalent to the increment of the load served by the electrical corporation that is not procured by the department may not be limited by this section.  If a customer elects to purchase this increment from an alternate provider, the customer shall continue to pay the department for the increment of power procured by the department in the manner provided in this division</w:t>
      </w:r>
    </w:p>
    <w:p>
      <w:pPr>
        <w:pStyle w:val="Normal"/>
        <w:rPr/>
      </w:pPr>
      <w:r>
        <w:rPr/>
      </w:r>
    </w:p>
    <w:p>
      <w:pPr>
        <w:pStyle w:val="Normal"/>
        <w:rPr/>
      </w:pPr>
      <w:r>
        <w:rPr/>
        <w:t>(d)  Before June 1, 2001, the right of a retail end use customer who purchases power from an electrical corporation to purchase power from an alternate provider may not be limited pursuant to subdivision (e).</w:t>
      </w:r>
    </w:p>
    <w:p>
      <w:pPr>
        <w:pStyle w:val="Normal"/>
        <w:rPr/>
      </w:pPr>
      <w:r>
        <w:rPr/>
      </w:r>
    </w:p>
    <w:p>
      <w:pPr>
        <w:pStyle w:val="Normal"/>
        <w:rPr/>
      </w:pPr>
      <w:r>
        <w:rPr/>
        <w:t>(e)  On and after June 1, 2001, the commission may limit the right of a retail end use customer who purchases power from an electrical corporation to purchase power from an alternate provider to the extent the commission determines to be necessary to ensure satisfaction of any power purchase obligation or bond obligation incurred by the department under this division to procure power to serve that customer.  Any limitations imposed by the commission pursuant to this subdivision shall be consistent with all of the following:</w:t>
      </w:r>
    </w:p>
    <w:p>
      <w:pPr>
        <w:pStyle w:val="Normal"/>
        <w:rPr/>
      </w:pPr>
      <w:r>
        <w:rPr/>
      </w:r>
    </w:p>
    <w:p>
      <w:pPr>
        <w:pStyle w:val="Normal"/>
        <w:rPr/>
      </w:pPr>
      <w:r>
        <w:rPr/>
        <w:t>(1)  The right of a residential or small commercial customer, or multiple customers aggregated pursuant to Section 366 of the Public Utilities Code, to purchase power from an alternate provider may not be limited to the extent the total residential and small commercial load served within the service territory of the electrical corporation by alternate providers is less than or equal to the cumulative load growth within the service territory of the electrical corporation on and after June 1, 2001, as determined by the commission.</w:t>
      </w:r>
    </w:p>
    <w:p>
      <w:pPr>
        <w:pStyle w:val="Normal"/>
        <w:rPr/>
      </w:pPr>
      <w:r>
        <w:rPr/>
      </w:r>
    </w:p>
    <w:p>
      <w:pPr>
        <w:pStyle w:val="Normal"/>
        <w:rPr/>
      </w:pPr>
      <w:r>
        <w:rPr/>
        <w:t>(2)  In addition to the load growth allowance specifically allocated to residential and small commercial customers in paragraph (1), the right of any retail end use customer to purchase power from an alternate provider may not be limited to the extent the total load served within the service territory of the electrical corporation by alternate providers is less than or equal to the difference between the total load within the service territory of the electrical corporation and the sum of that electrical corporation’s retained generation, power purchase contracts and power procured by the department to serve that electrical corporation’s customers, as determined by the commission.  In making such determinations, the commission shall consider daily, weekly, and seasonal variations in demand and supply, including significant variations in the power purchase commitments of the department.</w:t>
      </w:r>
    </w:p>
    <w:p>
      <w:pPr>
        <w:pStyle w:val="Normal"/>
        <w:rPr/>
      </w:pPr>
      <w:r>
        <w:rPr/>
      </w:r>
    </w:p>
    <w:p>
      <w:pPr>
        <w:pStyle w:val="Normal"/>
        <w:rPr/>
      </w:pPr>
      <w:r>
        <w:rPr/>
        <w:t>(f)  Notwithstanding subdivision (e), a customer may elect service from an alternate provider at any time, upon payment of a fee to the department equivalent to the department’s net unavoidable cost of power procurement, including any financing costs, attributable to that customer, as determined by the department.</w:t>
      </w:r>
    </w:p>
    <w:p>
      <w:pPr>
        <w:pStyle w:val="Normal"/>
        <w:rPr/>
      </w:pPr>
      <w:r>
        <w:rPr/>
      </w:r>
    </w:p>
    <w:p>
      <w:pPr>
        <w:pStyle w:val="Normal"/>
        <w:rPr/>
      </w:pPr>
      <w:r>
        <w:rPr/>
        <w:t>(g)  On and after June 1, 2001, if a retail end use customer previously served by an alternate provider acquires service from an electrical corporation, the department may impose a fee equivalent to any unavoidable costs imposed on the department’s portfolio attributable to the load of that customer, if such a fee is necessary to avoid imposing costs on other customers of the electrical corporation, or on the state.</w:t>
      </w:r>
    </w:p>
    <w:p>
      <w:pPr>
        <w:pStyle w:val="Normal"/>
        <w:rPr/>
      </w:pPr>
      <w:r>
        <w:rPr/>
      </w:r>
    </w:p>
    <w:p>
      <w:pPr>
        <w:pStyle w:val="Normal"/>
        <w:rPr/>
      </w:pPr>
      <w:r>
        <w:rPr/>
        <w:t>(h)  The commission shall require notification of each electrical corporation customer no later than _____ 1, 2001 of their limited option to choose between purchasing power from the electrical corporation and purchasing power from an alternate provider.  The notification shall include a description of the future conditions of purchasing power from an alternate provider imposed by this section should the customer elect to purchase power from the electrical corporation on or after June 1, 2001.</w:t>
      </w:r>
    </w:p>
    <w:p>
      <w:pPr>
        <w:pStyle w:val="Normal"/>
        <w:rPr/>
      </w:pPr>
      <w:r>
        <w:rPr/>
      </w:r>
    </w:p>
    <w:p>
      <w:pPr>
        <w:pStyle w:val="Normal"/>
        <w:jc w:val="center"/>
        <w:rPr/>
      </w:pPr>
      <w:r>
        <w:rPr/>
        <w: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pPr>
    <w:r>
      <w:rPr/>
      <w:fldChar w:fldCharType="begin"/>
    </w:r>
    <w:r>
      <w:rPr/>
      <w:instrText xml:space="preserve"> TIME \@"H:mm\ AM/PM" </w:instrText>
    </w:r>
    <w:r>
      <w:rPr/>
      <w:fldChar w:fldCharType="separate"/>
    </w:r>
    <w:r>
      <w:rPr/>
      <w:t>9:25 AM</w:t>
    </w:r>
    <w:r>
      <w:rPr/>
      <w:fldChar w:fldCharType="end"/>
    </w:r>
  </w:p>
</w:ftr>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2001-03-09T22:22:00Z</dcterms:created>
  <dc:creator>Lawrence Lingbloom</dc:creator>
  <dc:description/>
  <dc:language>en-CA</dc:language>
  <cp:lastModifiedBy>Charles H. Post, Jr.</cp:lastModifiedBy>
  <cp:lastPrinted>2001-03-01T13:21:00Z</cp:lastPrinted>
  <dcterms:modified xsi:type="dcterms:W3CDTF">2001-03-09T22:22:00Z</dcterms:modified>
  <cp:revision>2</cp:revision>
  <dc:subject/>
  <dc:title/>
</cp:coreProperties>
</file>