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UDC Advice Filings on Retained Generation</w:t>
      </w:r>
    </w:p>
    <w:p>
      <w:pPr>
        <w:pStyle w:val="Normal"/>
        <w:jc w:val="center"/>
        <w:rPr>
          <w:b/>
        </w:rPr>
      </w:pPr>
      <w:r>
        <w:rPr>
          <w:b/>
        </w:rPr>
      </w:r>
    </w:p>
    <w:p>
      <w:pPr>
        <w:pStyle w:val="Normal"/>
        <w:jc w:val="both"/>
        <w:rPr>
          <w:b/>
        </w:rPr>
      </w:pPr>
      <w:r>
        <w:rPr>
          <w:b/>
        </w:rPr>
        <w:t>Pacific Gas and Electric Company</w:t>
      </w:r>
    </w:p>
    <w:p>
      <w:pPr>
        <w:pStyle w:val="Normal"/>
        <w:jc w:val="both"/>
        <w:rPr>
          <w:b/>
        </w:rPr>
      </w:pPr>
      <w:r>
        <w:rPr>
          <w:b/>
        </w:rPr>
      </w:r>
    </w:p>
    <w:p>
      <w:pPr>
        <w:pStyle w:val="Normal"/>
        <w:ind w:hanging="720" w:start="1440" w:end="0"/>
        <w:jc w:val="both"/>
        <w:rPr/>
      </w:pPr>
      <w:r>
        <w:rPr>
          <w:rFonts w:eastAsia="Symbol" w:cs="Symbol" w:ascii="Symbol" w:hAnsi="Symbol"/>
          <w:b/>
        </w:rPr>
        <w:sym w:font="Symbol" w:char="f0b7"/>
      </w:r>
      <w:r>
        <w:rPr>
          <w:b/>
        </w:rPr>
        <w:tab/>
      </w:r>
      <w:r>
        <w:rPr/>
        <w:t xml:space="preserve">Proposal to establish cost-based pricing and accounting treatment for its retained generation beginning on December 28, 2000 – the utility retained pricing is to be used under both the accounting procedures outlined in the advice filling as well as under the California Procurement Adjustment Mechanism.  </w:t>
      </w:r>
    </w:p>
    <w:p>
      <w:pPr>
        <w:pStyle w:val="Normal"/>
        <w:ind w:hanging="720" w:start="1440" w:end="0"/>
        <w:jc w:val="both"/>
        <w:rPr/>
      </w:pPr>
      <w:r>
        <w:rPr/>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During the period of December 28, 2000 through January 31, 2001, the retained generation pricing will be used to record the costs of its retained generation n the TRA and the revenue from PG&amp;E’s retained generation in the TCBA or the appropriate generation memorandum account; subsequent to that the accounting will be in accord with its February 23</w:t>
      </w:r>
      <w:r>
        <w:rPr>
          <w:vertAlign w:val="superscript"/>
        </w:rPr>
        <w:t>rd</w:t>
      </w:r>
      <w:r>
        <w:rPr/>
        <w:t xml:space="preserve"> CPA filing.</w:t>
      </w:r>
    </w:p>
    <w:p>
      <w:pPr>
        <w:pStyle w:val="Normal"/>
        <w:ind w:hanging="720" w:start="1440" w:end="0"/>
        <w:jc w:val="both"/>
        <w:rPr/>
      </w:pPr>
      <w:r>
        <w:rPr/>
      </w:r>
    </w:p>
    <w:p>
      <w:pPr>
        <w:pStyle w:val="Normal"/>
        <w:ind w:hanging="720" w:start="1440" w:end="0"/>
        <w:jc w:val="both"/>
        <w:rPr/>
      </w:pPr>
      <w:r>
        <w:rPr/>
        <w:t xml:space="preserve"> </w:t>
      </w:r>
      <w:r>
        <w:rPr>
          <w:vertAlign w:val="superscript"/>
        </w:rPr>
        <w:t xml:space="preserve">            </w:t>
      </w:r>
    </w:p>
    <w:p>
      <w:pPr>
        <w:pStyle w:val="Normal"/>
        <w:ind w:hanging="720" w:start="1440" w:end="0"/>
        <w:jc w:val="both"/>
        <w:rPr/>
      </w:pPr>
      <w:r>
        <w:rPr>
          <w:rFonts w:eastAsia="Symbol" w:cs="Symbol" w:ascii="Symbol" w:hAnsi="Symbol"/>
        </w:rPr>
        <w:sym w:font="Symbol" w:char="f0b7"/>
      </w:r>
      <w:r>
        <w:rPr/>
        <w:tab/>
        <w:t>Proposes to revise its Schedule PX to provide for use of net costs associated with its retained generation in developing energy costs for bundled service customers and energy credits for direct access customers</w:t>
      </w:r>
    </w:p>
    <w:p>
      <w:pPr>
        <w:pStyle w:val="Normal"/>
        <w:ind w:hanging="720" w:start="1440" w:end="0"/>
        <w:jc w:val="both"/>
        <w:rPr/>
      </w:pPr>
      <w:r>
        <w:rPr/>
      </w:r>
    </w:p>
    <w:p>
      <w:pPr>
        <w:pStyle w:val="Normal"/>
        <w:ind w:hanging="720" w:start="2160" w:end="0"/>
        <w:jc w:val="both"/>
        <w:rPr/>
      </w:pPr>
      <w:r>
        <w:rPr>
          <w:rFonts w:eastAsia="Symbol" w:cs="Symbol" w:ascii="Symbol" w:hAnsi="Symbol"/>
        </w:rPr>
        <w:sym w:font="Symbol" w:char="f0b7"/>
      </w:r>
      <w:r>
        <w:rPr/>
        <w:tab/>
        <w:t xml:space="preserve">All the submitted tariff sheets show is a change in the “development of hourly forward market costs. These costs equal: “the sum of the cost in the day-ahead market in each zone, plus the costs of the hour ahead market in each zone, plus the net gain or loss on transactions in the block forward market, plus the net costs associated with PG&amp;E's retained generation, all divided by the kWh purchased in all zones in all forward energy market for that hour. </w:t>
      </w:r>
    </w:p>
    <w:p>
      <w:pPr>
        <w:pStyle w:val="Normal"/>
        <w:ind w:hanging="720" w:start="2160" w:end="0"/>
        <w:jc w:val="both"/>
        <w:rPr/>
      </w:pPr>
      <w:r>
        <w:rPr/>
      </w:r>
    </w:p>
    <w:p>
      <w:pPr>
        <w:pStyle w:val="Normal"/>
        <w:ind w:hanging="720" w:start="2160" w:end="0"/>
        <w:jc w:val="both"/>
        <w:rPr/>
      </w:pPr>
      <w:r>
        <w:rPr/>
        <w:tab/>
      </w:r>
    </w:p>
    <w:p>
      <w:pPr>
        <w:pStyle w:val="Normal"/>
        <w:ind w:hanging="720" w:start="2160" w:end="0"/>
        <w:jc w:val="both"/>
        <w:rPr/>
      </w:pPr>
      <w:r>
        <w:rPr>
          <w:rFonts w:eastAsia="Symbol" w:cs="Symbol" w:ascii="Symbol" w:hAnsi="Symbol"/>
        </w:rPr>
        <w:sym w:font="Symbol" w:char="f0b7"/>
      </w:r>
      <w:r>
        <w:rPr/>
        <w:tab/>
        <w:t xml:space="preserve">PG&amp;E states that the authorized costs and revenue requirements for its retained generation assets include (1) recovery of capital related costs equal to depreciation, taxes, and return on investment; (2) recovery of ongoing operation costs; and (3) authorized revenue requirement for assets subject to performance based ratemaking (e.g. Diablo Canyon)  </w:t>
      </w:r>
    </w:p>
    <w:p>
      <w:pPr>
        <w:pStyle w:val="Normal"/>
        <w:ind w:hanging="720" w:start="1440" w:end="0"/>
        <w:jc w:val="both"/>
        <w:rPr/>
      </w:pPr>
      <w:r>
        <w:rPr/>
      </w:r>
    </w:p>
    <w:p>
      <w:pPr>
        <w:pStyle w:val="Normal"/>
        <w:ind w:hanging="1440" w:start="1440" w:end="0"/>
        <w:jc w:val="both"/>
        <w:rPr>
          <w:b/>
        </w:rPr>
      </w:pPr>
      <w:r>
        <w:rPr>
          <w:b/>
        </w:rPr>
        <w:t>Southern California Edison</w:t>
      </w:r>
    </w:p>
    <w:p>
      <w:pPr>
        <w:pStyle w:val="Normal"/>
        <w:ind w:hanging="1440" w:start="1440" w:end="0"/>
        <w:jc w:val="both"/>
        <w:rPr>
          <w:b/>
        </w:rPr>
      </w:pPr>
      <w:r>
        <w:rPr>
          <w:b/>
        </w:rPr>
      </w:r>
    </w:p>
    <w:p>
      <w:pPr>
        <w:pStyle w:val="Normal"/>
        <w:ind w:hanging="720" w:start="1440" w:end="0"/>
        <w:jc w:val="both"/>
        <w:rPr/>
      </w:pPr>
      <w:r>
        <w:rPr>
          <w:rFonts w:eastAsia="Symbol" w:cs="Symbol" w:ascii="Symbol" w:hAnsi="Symbol"/>
          <w:b/>
        </w:rPr>
        <w:sym w:font="Symbol" w:char="f0b7"/>
      </w:r>
      <w:r>
        <w:rPr>
          <w:b/>
        </w:rPr>
        <w:tab/>
      </w:r>
      <w:r>
        <w:rPr/>
        <w:t>SCE is asking for an effective date of January 19, 2001, the date it stopped making purchases from the PX (as opposed to PG&amp;E’s requested December 28, 2000 effective date – the date it stopped selling into the PX)</w:t>
      </w:r>
    </w:p>
    <w:p>
      <w:pPr>
        <w:pStyle w:val="Normal"/>
        <w:ind w:hanging="720" w:start="1440" w:end="0"/>
        <w:jc w:val="both"/>
        <w:rPr/>
      </w:pPr>
      <w:r>
        <w:rPr/>
        <w:t xml:space="preserve">  </w:t>
      </w:r>
    </w:p>
    <w:p>
      <w:pPr>
        <w:pStyle w:val="Normal"/>
        <w:ind w:hanging="720" w:start="1440" w:end="0"/>
        <w:jc w:val="both"/>
        <w:rPr/>
      </w:pPr>
      <w:r>
        <w:rPr/>
        <w:t>.</w:t>
      </w:r>
      <w:r>
        <w:rPr>
          <w:rFonts w:eastAsia="Symbol" w:cs="Symbol" w:ascii="Symbol" w:hAnsi="Symbol"/>
        </w:rPr>
        <w:sym w:font="Symbol" w:char="f0b7"/>
      </w:r>
      <w:r>
        <w:rPr/>
        <w:tab/>
        <w:t>Based on the fact that it has proposed a CPA balancing account to be effective as of February 1, 2001, SCE stated any utility retained generation rate as contemplated by the Commission in D. 01-01-06 would only be effective from January 19 through January 31, 2001</w:t>
      </w:r>
    </w:p>
    <w:p>
      <w:pPr>
        <w:pStyle w:val="Normal"/>
        <w:ind w:hanging="720" w:start="1440" w:end="0"/>
        <w:jc w:val="both"/>
        <w:rPr/>
      </w:pPr>
      <w:r>
        <w:rPr>
          <w:rFonts w:eastAsia="Symbol" w:cs="Symbol" w:ascii="Symbol" w:hAnsi="Symbol"/>
        </w:rPr>
        <w:sym w:font="Symbol" w:char="f0b7"/>
      </w:r>
      <w:r>
        <w:rPr/>
        <w:tab/>
        <w:t>SCE does not propose a change to its PX schedule, but does put a total URG revenue requirement in of $1.9 billion (average cost per megawatt of $50.00.</w:t>
      </w:r>
    </w:p>
    <w:p>
      <w:pPr>
        <w:pStyle w:val="Normal"/>
        <w:jc w:val="both"/>
        <w:rPr>
          <w:b/>
        </w:rPr>
      </w:pPr>
      <w:r>
        <w:rPr>
          <w:b/>
        </w:rPr>
        <w:t>San Diego Gas &amp; Electric Company</w:t>
      </w:r>
    </w:p>
    <w:p>
      <w:pPr>
        <w:pStyle w:val="Normal"/>
        <w:jc w:val="both"/>
        <w:rPr>
          <w:b/>
        </w:rPr>
      </w:pPr>
      <w:r>
        <w:rPr>
          <w:b/>
        </w:rPr>
      </w:r>
    </w:p>
    <w:p>
      <w:pPr>
        <w:pStyle w:val="Normal"/>
        <w:ind w:hanging="720" w:start="1440" w:end="0"/>
        <w:jc w:val="both"/>
        <w:rPr/>
      </w:pPr>
      <w:r>
        <w:rPr>
          <w:rFonts w:eastAsia="Symbol" w:cs="Symbol" w:ascii="Symbol" w:hAnsi="Symbol"/>
          <w:b/>
        </w:rPr>
        <w:sym w:font="Symbol" w:char="f0b7"/>
      </w:r>
      <w:r>
        <w:rPr>
          <w:b/>
        </w:rPr>
        <w:tab/>
      </w:r>
      <w:r>
        <w:rPr/>
        <w:t>SDG&amp;E asks for a December 29, 2000 effective date (the date it stopped selling power into the PX).</w:t>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 xml:space="preserve">It proposes to amend its Electric Energy Commodity Cost (formerly PX) Rate Schedule. To provided a new manner for the development of the hourly forward market costs (”HFMC”). The HFMC “shall be calculated for each hour as the sum of the charges of all URG and purchases scheduled for plead (2) plus ISO grid management rate and Uplift, times the MWH scheduled (3) al divided by the total lURG and purchases MWH scheduled in forwards market s of that hour adjustment Estimation Rate. </w:t>
      </w:r>
    </w:p>
    <w:p>
      <w:pPr>
        <w:pStyle w:val="Normal"/>
        <w:ind w:hanging="720" w:start="1440" w:end="0"/>
        <w:jc w:val="both"/>
        <w:rPr/>
      </w:pP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zzmpFixed_MacPacVersion" w:val="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2001-03-08T21:06:00Z</dcterms:created>
  <dc:creator>JMB</dc:creator>
  <dc:description/>
  <dc:language>en-CA</dc:language>
  <cp:lastModifiedBy>JMB</cp:lastModifiedBy>
  <dcterms:modified xsi:type="dcterms:W3CDTF">2001-03-08T21:06:00Z</dcterms:modified>
  <cp:revision>2</cp:revision>
  <dc:subject/>
  <dc:title/>
</cp:coreProperties>
</file>