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72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rPr/>
            </w:pPr>
            <w:r>
              <w:rPr/>
              <w:t>SOUTHERN CALIFORNIA EDISON COMPANY</w:t>
            </w:r>
          </w:p>
          <w:p>
            <w:pPr>
              <w:pStyle w:val="Normal"/>
              <w:spacing w:before="0" w:after="240"/>
              <w:rPr/>
            </w:pPr>
            <w:r>
              <w:rPr/>
              <w:t xml:space="preserve">                                         </w:t>
            </w:r>
            <w:r>
              <w:rPr/>
              <w:t>Cross- Complainants</w:t>
            </w:r>
          </w:p>
          <w:p>
            <w:pPr>
              <w:pStyle w:val="Normal"/>
              <w:spacing w:before="0" w:after="240"/>
              <w:rPr/>
            </w:pPr>
            <w:r>
              <w:rPr/>
              <w:t>v.</w:t>
            </w:r>
          </w:p>
          <w:p>
            <w:pPr>
              <w:pStyle w:val="Normal"/>
              <w:rPr/>
            </w:pPr>
            <w:r>
              <w:rPr/>
              <w:t>ENRON ENERGY SERVICES, INC. and</w:t>
            </w:r>
          </w:p>
          <w:p>
            <w:pPr>
              <w:pStyle w:val="Normal"/>
              <w:spacing w:before="0" w:after="240"/>
              <w:rPr/>
            </w:pPr>
            <w:r>
              <w:rPr/>
              <w:t xml:space="preserve"> </w:t>
            </w:r>
            <w:r>
              <w:rPr/>
              <w:t>ENRON ENERGY MARKETING CORP.,</w:t>
            </w:r>
          </w:p>
          <w:p>
            <w:pPr>
              <w:pStyle w:val="Normal"/>
              <w:rPr/>
            </w:pPr>
            <w:r>
              <w:rPr/>
              <w:t xml:space="preserve">                                        </w:t>
            </w:r>
            <w:r>
              <w:rPr/>
              <w:t>Cross- Defendants</w:t>
            </w:r>
          </w:p>
          <w:p>
            <w:pPr>
              <w:pStyle w:val="Normal"/>
              <w:rPr/>
            </w:pPr>
            <w:r>
              <w:rPr/>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Case 01-01-029</w:t>
            </w:r>
          </w:p>
        </w:tc>
      </w:tr>
    </w:tbl>
    <w:p>
      <w:pPr>
        <w:pStyle w:val="Normal"/>
        <w:rPr/>
      </w:pPr>
      <w:r>
        <w:rPr/>
      </w:r>
    </w:p>
    <w:p>
      <w:pPr>
        <w:pStyle w:val="Normal"/>
        <w:rPr/>
      </w:pPr>
      <w:r>
        <w:rPr/>
      </w:r>
    </w:p>
    <w:p>
      <w:pPr>
        <w:pStyle w:val="Normal"/>
        <w:rPr/>
      </w:pPr>
      <w:r>
        <w:rPr/>
      </w:r>
    </w:p>
    <w:p>
      <w:pPr>
        <w:pStyle w:val="Normal"/>
        <w:jc w:val="center"/>
        <w:rPr>
          <w:b/>
        </w:rPr>
      </w:pPr>
      <w:r>
        <w:rPr>
          <w:b/>
        </w:rPr>
        <w:t>MOTION OF</w:t>
      </w:r>
    </w:p>
    <w:p>
      <w:pPr>
        <w:pStyle w:val="Normal"/>
        <w:jc w:val="center"/>
        <w:rPr>
          <w:b/>
        </w:rPr>
      </w:pPr>
      <w:r>
        <w:rPr>
          <w:b/>
        </w:rPr>
        <w:t>ENRON ENERGY SERVICES, INC. AND</w:t>
      </w:r>
    </w:p>
    <w:p>
      <w:pPr>
        <w:pStyle w:val="Normal"/>
        <w:jc w:val="center"/>
        <w:rPr>
          <w:b/>
        </w:rPr>
      </w:pPr>
      <w:r>
        <w:rPr>
          <w:b/>
        </w:rPr>
        <w:t>ENRON ENERGY MARKETING CORP.</w:t>
      </w:r>
    </w:p>
    <w:p>
      <w:pPr>
        <w:pStyle w:val="Normal"/>
        <w:jc w:val="center"/>
        <w:rPr>
          <w:b/>
        </w:rPr>
      </w:pPr>
      <w:r>
        <w:rPr>
          <w:b/>
        </w:rPr>
        <w:t xml:space="preserve">TO DISMISS COUNTER-COMPLAINT </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tbl>
      <w:tblPr>
        <w:tblW w:w="10170" w:type="dxa"/>
        <w:jc w:val="start"/>
        <w:tblInd w:w="0" w:type="dxa"/>
        <w:tblLayout w:type="fixed"/>
        <w:tblCellMar>
          <w:top w:w="0" w:type="dxa"/>
          <w:start w:w="0" w:type="dxa"/>
          <w:bottom w:w="0" w:type="dxa"/>
          <w:end w:w="0" w:type="dxa"/>
        </w:tblCellMar>
      </w:tblPr>
      <w:tblGrid>
        <w:gridCol w:w="5130"/>
        <w:gridCol w:w="5040"/>
      </w:tblGrid>
      <w:tr>
        <w:trPr/>
        <w:tc>
          <w:tcPr>
            <w:tcW w:w="5130" w:type="dxa"/>
            <w:tcBorders/>
            <w:vAlign w:val="bottom"/>
          </w:tcPr>
          <w:p>
            <w:pPr>
              <w:pStyle w:val="Normal"/>
              <w:spacing w:before="120" w:after="0"/>
              <w:rPr/>
            </w:pPr>
            <w:r>
              <w:rPr/>
              <w:t>Date:  March 19, 2001</w:t>
            </w:r>
          </w:p>
        </w:tc>
        <w:tc>
          <w:tcPr>
            <w:tcW w:w="5040" w:type="dxa"/>
            <w:tcBorders/>
            <w:vAlign w:val="bottom"/>
          </w:tcPr>
          <w:p>
            <w:pPr>
              <w:pStyle w:val="Normal"/>
              <w:rPr/>
            </w:pPr>
            <w:r>
              <w:rPr/>
              <w:t>GOODIN, MACBRIDE, SQUERI,</w:t>
              <w:br/>
              <w:t>RITCHIE &amp; DAY, LLP</w:t>
            </w:r>
          </w:p>
          <w:p>
            <w:pPr>
              <w:pStyle w:val="Normal"/>
              <w:rPr/>
            </w:pPr>
            <w:r>
              <w:rPr/>
              <w:t xml:space="preserve">Michael B. Day </w:t>
            </w:r>
          </w:p>
          <w:p>
            <w:pPr>
              <w:pStyle w:val="Normal"/>
              <w:rPr/>
            </w:pPr>
            <w:r>
              <w:rPr/>
              <w:t>Jeanne M. Bennett</w:t>
            </w:r>
          </w:p>
          <w:p>
            <w:pPr>
              <w:pStyle w:val="Normal"/>
              <w:rPr/>
            </w:pPr>
            <w:r>
              <w:rPr/>
              <w:t>505 Sansome Street, Suite 900</w:t>
              <w:br/>
              <w:t>San Francisco, CA  94111</w:t>
              <w:br/>
              <w:t>Telephone:</w:t>
              <w:tab/>
              <w:t>(415) 392-7900</w:t>
              <w:br/>
              <w:t>Facsimile:</w:t>
              <w:tab/>
              <w:t>(415) 398-4321</w:t>
            </w:r>
          </w:p>
          <w:p>
            <w:pPr>
              <w:pStyle w:val="Normal"/>
              <w:spacing w:before="240" w:after="0"/>
              <w:rPr/>
            </w:pPr>
            <w:r>
              <w:rPr/>
              <w:t>Attorneys for Enron Energy Services, Inc. and</w:t>
            </w:r>
          </w:p>
          <w:p>
            <w:pPr>
              <w:pStyle w:val="Normal"/>
              <w:rPr/>
            </w:pPr>
            <w:r>
              <w:rPr/>
              <w:t>Enron Energy Marketing Corp.</w:t>
            </w:r>
          </w:p>
        </w:tc>
      </w:tr>
    </w:tbl>
    <w:p>
      <w:pPr>
        <w:sectPr>
          <w:headerReference w:type="default" r:id="rId2"/>
          <w:headerReference w:type="first" r:id="rId3"/>
          <w:footerReference w:type="default" r:id="rId4"/>
          <w:footerReference w:type="first" r:id="rId5"/>
          <w:type w:val="nextPage"/>
          <w:pgSz w:w="12240" w:h="15840"/>
          <w:pgMar w:left="1440" w:right="1440" w:gutter="0" w:header="432" w:top="1440" w:footer="360" w:bottom="1440"/>
          <w:pgNumType w:fmt="decimal"/>
          <w:formProt w:val="false"/>
          <w:titlePg/>
          <w:textDirection w:val="lrTb"/>
          <w:docGrid w:type="default" w:linePitch="360" w:charSpace="0"/>
        </w:sectPr>
      </w:pPr>
    </w:p>
    <w:p>
      <w:pPr>
        <w:pStyle w:val="Normal"/>
        <w:spacing w:before="0" w:after="72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rPr/>
            </w:pPr>
            <w:r>
              <w:rPr/>
              <w:t>SOUTHERN CALIFORNIA EDISON COMPANY</w:t>
            </w:r>
          </w:p>
          <w:p>
            <w:pPr>
              <w:pStyle w:val="Normal"/>
              <w:spacing w:before="0" w:after="240"/>
              <w:rPr/>
            </w:pPr>
            <w:r>
              <w:rPr/>
              <w:t xml:space="preserve">                                         </w:t>
            </w:r>
            <w:r>
              <w:rPr/>
              <w:t>Cross- Complainants</w:t>
            </w:r>
          </w:p>
          <w:p>
            <w:pPr>
              <w:pStyle w:val="Normal"/>
              <w:spacing w:before="0" w:after="240"/>
              <w:rPr/>
            </w:pPr>
            <w:r>
              <w:rPr/>
              <w:t>v.</w:t>
            </w:r>
          </w:p>
          <w:p>
            <w:pPr>
              <w:pStyle w:val="Normal"/>
              <w:rPr/>
            </w:pPr>
            <w:r>
              <w:rPr/>
              <w:t>ENRON ENERGY SERVICES, INC. and</w:t>
            </w:r>
          </w:p>
          <w:p>
            <w:pPr>
              <w:pStyle w:val="Normal"/>
              <w:spacing w:before="0" w:after="240"/>
              <w:rPr/>
            </w:pPr>
            <w:r>
              <w:rPr/>
              <w:t xml:space="preserve"> </w:t>
            </w:r>
            <w:r>
              <w:rPr/>
              <w:t>ENRON ENERGY MARKETING CORP.,</w:t>
            </w:r>
          </w:p>
          <w:p>
            <w:pPr>
              <w:pStyle w:val="Normal"/>
              <w:rPr/>
            </w:pPr>
            <w:r>
              <w:rPr/>
              <w:t xml:space="preserve">                                        </w:t>
            </w:r>
            <w:r>
              <w:rPr/>
              <w:t>Cross- Defendants</w:t>
            </w:r>
          </w:p>
          <w:p>
            <w:pPr>
              <w:pStyle w:val="Normal"/>
              <w:rPr/>
            </w:pPr>
            <w:r>
              <w:rPr/>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Case 01-01-029</w:t>
            </w:r>
          </w:p>
        </w:tc>
      </w:tr>
    </w:tbl>
    <w:p>
      <w:pPr>
        <w:pStyle w:val="Normal"/>
        <w:rPr/>
      </w:pPr>
      <w:r>
        <w:rPr/>
      </w:r>
    </w:p>
    <w:p>
      <w:pPr>
        <w:pStyle w:val="Normal"/>
        <w:jc w:val="center"/>
        <w:rPr>
          <w:b/>
        </w:rPr>
      </w:pPr>
      <w:r>
        <w:rPr>
          <w:b/>
        </w:rPr>
        <w:t>MOTION OF</w:t>
      </w:r>
    </w:p>
    <w:p>
      <w:pPr>
        <w:pStyle w:val="Normal"/>
        <w:jc w:val="center"/>
        <w:rPr>
          <w:b/>
        </w:rPr>
      </w:pPr>
      <w:r>
        <w:rPr>
          <w:b/>
        </w:rPr>
        <w:t>ENRON ENERGY SERVICES, INC. AND</w:t>
      </w:r>
    </w:p>
    <w:p>
      <w:pPr>
        <w:pStyle w:val="Normal"/>
        <w:jc w:val="center"/>
        <w:rPr>
          <w:b/>
        </w:rPr>
      </w:pPr>
      <w:r>
        <w:rPr>
          <w:b/>
        </w:rPr>
        <w:t>ENRON ENERGY MARKETING CORP.</w:t>
      </w:r>
    </w:p>
    <w:p>
      <w:pPr>
        <w:pStyle w:val="Normal"/>
        <w:jc w:val="center"/>
        <w:rPr>
          <w:b/>
        </w:rPr>
      </w:pPr>
      <w:r>
        <w:rPr>
          <w:b/>
        </w:rPr>
        <w:t xml:space="preserve">TO DISMISS COUNTER-COMPLAINT </w:t>
      </w:r>
    </w:p>
    <w:p>
      <w:pPr>
        <w:pStyle w:val="Normal"/>
        <w:jc w:val="center"/>
        <w:rPr>
          <w:b/>
        </w:rPr>
      </w:pPr>
      <w:r>
        <w:rPr>
          <w:b/>
        </w:rPr>
      </w:r>
    </w:p>
    <w:p>
      <w:pPr>
        <w:pStyle w:val="Normal"/>
        <w:spacing w:lineRule="auto" w:line="480"/>
        <w:ind w:firstLine="720" w:end="0"/>
        <w:jc w:val="both"/>
        <w:rPr/>
      </w:pPr>
      <w:r>
        <w:rPr/>
        <w:t>Pursuant to Section 56 of the Rules of Practice and Procedure of the California Public Utilities Commission (“Commission”), Cross-Defendants Enron Energy Services, Inc. (“EES”) and Enron Energy Marketing Corp. (“EEMC”) move to dismiss the First Cause of Action of the Counter-Complaint of Southern California Energy Company (“SCE”) (“First Cause of Action”) in the above captioned proceeding.  Irrespective of the truth or falsity of the allegations made pursuant to that cause of action, the Commission has neither jurisdiction over the alleged illegalities in the electric wholesale market nor over EES or EEMC with respect to alleged performance of such illegalities.  Accordingly, the Commission does not have the requisite statutory authority to adjudicate the First Cause of Action under the Counter-Complaint and, as such, it must be dismissed.</w:t>
      </w:r>
    </w:p>
    <w:p>
      <w:pPr>
        <w:pStyle w:val="Normal"/>
        <w:spacing w:lineRule="auto" w:line="480"/>
        <w:jc w:val="both"/>
        <w:rPr>
          <w:b/>
        </w:rPr>
      </w:pPr>
      <w:r>
        <w:rPr>
          <w:b/>
        </w:rPr>
        <w:t>I.</w:t>
        <w:tab/>
        <w:t>INTRODUCTION</w:t>
      </w:r>
    </w:p>
    <w:p>
      <w:pPr>
        <w:pStyle w:val="Normal"/>
        <w:ind w:start="720" w:end="720"/>
        <w:jc w:val="both"/>
        <w:rPr/>
      </w:pPr>
      <w:r>
        <w:rPr>
          <w:b/>
        </w:rPr>
        <w:t>A</w:t>
        <w:tab/>
        <w:t>The PX Credit is the Product of the Wholesale Power Market</w:t>
      </w:r>
      <w:r>
        <w:rPr/>
        <w:t xml:space="preserve"> </w:t>
      </w:r>
    </w:p>
    <w:p>
      <w:pPr>
        <w:pStyle w:val="Normal"/>
        <w:ind w:start="720" w:end="720"/>
        <w:jc w:val="both"/>
        <w:rPr/>
      </w:pPr>
      <w:r>
        <w:rPr/>
        <w:t xml:space="preserve">           </w:t>
      </w:r>
    </w:p>
    <w:p>
      <w:pPr>
        <w:pStyle w:val="Normal"/>
        <w:spacing w:lineRule="auto" w:line="480"/>
        <w:ind w:firstLine="720" w:end="0"/>
        <w:jc w:val="both"/>
        <w:rPr/>
      </w:pPr>
      <w:r>
        <w:rPr/>
        <w:t>The nature of the EES and EEMC complaint against SCE is a simple matter of SCE’s failure to pay these entities, over a certain period of time, a Power Exchange (“PX”) credit in compliance with certain terms and conditions of its Energy Service Provider Service Agreements with the complainants as well as with the underlying provisions of its Commission approved tariffs.   Conversely, through its Counter-Complaint, SCE is seeking a Commission determination that the PX credits owing EES and EEMC pursuant to the Commission approved mechanisms do not have to be paid.</w:t>
      </w:r>
    </w:p>
    <w:p>
      <w:pPr>
        <w:pStyle w:val="Normal"/>
        <w:spacing w:lineRule="auto" w:line="480"/>
        <w:ind w:firstLine="720" w:end="0"/>
        <w:jc w:val="both"/>
        <w:rPr/>
      </w:pPr>
      <w:r>
        <w:rPr/>
        <w:t>Specifically, SCE alleges that EEMC and EES, together with Enron generating and marketing affiliates, possess, and have exercised, market power in the California wholesale electricity market.  The result of such alleged exercise of market power being an increase in the price ultimately paid in that market.</w:t>
      </w:r>
      <w:r>
        <w:rPr>
          <w:rStyle w:val="FootnoteCharacters"/>
          <w:rStyle w:val="FootnoteReference"/>
        </w:rPr>
        <w:footnoteReference w:id="2"/>
      </w:r>
      <w:r>
        <w:rPr/>
        <w:t xml:space="preserve">  Given the direct correlation between the wholesale price of energy and the calculation of the PX credit,</w:t>
      </w:r>
      <w:r>
        <w:rPr>
          <w:rStyle w:val="FootnoteCharacters"/>
          <w:rStyle w:val="FootnoteReference"/>
        </w:rPr>
        <w:footnoteReference w:id="3"/>
      </w:r>
      <w:r>
        <w:rPr/>
        <w:t xml:space="preserve"> EES and EEMC, according to SCE, had no incentive to limit the use of market power by the Enron generating and marketing affiliates and thereby decrease the cost of wholesale electricity.</w:t>
      </w:r>
      <w:r>
        <w:rPr>
          <w:rStyle w:val="FootnoteCharacters"/>
          <w:rStyle w:val="FootnoteReference"/>
        </w:rPr>
        <w:footnoteReference w:id="4"/>
      </w:r>
      <w:r>
        <w:rPr/>
        <w:t xml:space="preserve">  Stated another way, according to SCE, EES and EEMC were indifferent to the high price of electricity as they knew that the increased cost would be retrieved from SCE (and the other UDCs) through the PX credit mechanism.  It is this direct correlation between the amount of the PX credit and the prices in the wholesale market, however, which makes the nature of SCE’s Counter-Complaint inappropriate for resolution by this Commission.</w:t>
      </w:r>
    </w:p>
    <w:p>
      <w:pPr>
        <w:pStyle w:val="Normal"/>
        <w:spacing w:lineRule="auto" w:line="480"/>
        <w:ind w:firstLine="720" w:end="0"/>
        <w:jc w:val="both"/>
        <w:rPr/>
      </w:pPr>
      <w:r>
        <w:rPr/>
        <w:t xml:space="preserve">   </w:t>
      </w:r>
      <w:r>
        <w:rPr/>
        <w:t xml:space="preserve">In brief, while the manner in which the PX credit is determined and paid to ESPs and direct access customers is subject to the Commission’s jurisdiction, the </w:t>
      </w:r>
      <w:r>
        <w:rPr>
          <w:i/>
        </w:rPr>
        <w:t xml:space="preserve">amount </w:t>
      </w:r>
      <w:r>
        <w:rPr/>
        <w:t xml:space="preserve">of the PX credit in any given month is directly tied to the wholesale cost of electricity purchased through the Power Exchange.  In this regard, the “Applicability” section of SCE’s Power Exchange Energy Tariff provides for the tariff to be applicable to “all SCE Bundled Service Customers in the calculation of the Averaged Power Exchange Energy Charge and </w:t>
      </w:r>
      <w:r>
        <w:rPr>
          <w:i/>
        </w:rPr>
        <w:t>Direct Access customers in the calculation of the PX Energy Credit</w:t>
      </w:r>
      <w:r>
        <w:rPr/>
        <w:t>.”</w:t>
      </w:r>
      <w:r>
        <w:rPr>
          <w:rStyle w:val="FootnoteCharacters"/>
          <w:rStyle w:val="FootnoteReference"/>
        </w:rPr>
        <w:footnoteReference w:id="5"/>
      </w:r>
      <w:r>
        <w:rPr/>
        <w:t xml:space="preserve">   The tariff provides that the PX Energy Cost:</w:t>
      </w:r>
    </w:p>
    <w:p>
      <w:pPr>
        <w:pStyle w:val="Normal"/>
        <w:ind w:start="720" w:end="720"/>
        <w:jc w:val="both"/>
        <w:rPr/>
      </w:pPr>
      <w:r>
        <w:rPr/>
        <w:t>[S]hall equal SCE’s total hourly cost of procuring energy from the PX.  The PX Energy Cost shall be calculated for each hour as the sum of the weighted average PX price paid by SCE for energy trades in the Forward Markets which include the day-ahead market, day-of or hour-ahead market, and other trades that have been authorized by the Commission in the California Trading Services (CTS) Block-Forward Market, and bilateral contracts authorized by the Commission in Decision 00-08-023 plus the costs of settlement for imbalance energy, plus uplift charges paid to the PX or ISO by SCE on behalf of SCE Bundled Service Customers.</w:t>
      </w:r>
      <w:r>
        <w:rPr>
          <w:rStyle w:val="FootnoteCharacters"/>
          <w:rStyle w:val="FootnoteReference"/>
        </w:rPr>
        <w:footnoteReference w:id="6"/>
      </w:r>
    </w:p>
    <w:p>
      <w:pPr>
        <w:pStyle w:val="Normal"/>
        <w:ind w:start="720" w:end="720"/>
        <w:jc w:val="both"/>
        <w:rPr/>
      </w:pPr>
      <w:r>
        <w:rPr/>
      </w:r>
    </w:p>
    <w:p>
      <w:pPr>
        <w:pStyle w:val="Normal"/>
        <w:spacing w:lineRule="auto" w:line="480"/>
        <w:jc w:val="both"/>
        <w:rPr/>
      </w:pPr>
      <w:r>
        <w:rPr/>
        <w:t xml:space="preserve"> </w:t>
      </w:r>
      <w:r>
        <w:rPr/>
        <w:t>The PX credit, therefore, is the product of the cost of electricity in the wholesale market.</w:t>
      </w:r>
    </w:p>
    <w:p>
      <w:pPr>
        <w:pStyle w:val="Normal"/>
        <w:spacing w:lineRule="auto" w:line="480"/>
        <w:ind w:firstLine="720" w:end="0"/>
        <w:jc w:val="both"/>
        <w:rPr/>
      </w:pPr>
      <w:r>
        <w:rPr/>
        <w:t xml:space="preserve">In raising this Counter-Complaint to EES’ and EEMC’s complaint for non-payment of the PX credit, SCE seeks at determination from the Commission that such amounts owing are not due as they resulted from a dysfunctional wholesale market which was created, in part, by market power abuses of EES and EEMC (and their associated marketing and generating affiliates).  In order, however, for the Commission to make the requested finding, it would have to determine that that the cost of electricity in the wholesale market during the applicable period was not just and reasonable, and, therefore, PX credits based on such costs were equivalently not just and reasonable.  As illustrated below, the Commission does not have the jurisdiction to make the underlying foundational finding necessary to render the relief requested. Such jurisdiction is vested solely in the Federal Energy Regulatory Commission (“FERC”). </w:t>
      </w:r>
    </w:p>
    <w:p>
      <w:pPr>
        <w:pStyle w:val="Normal"/>
        <w:spacing w:lineRule="auto" w:line="480"/>
        <w:ind w:firstLine="720" w:end="0"/>
        <w:jc w:val="both"/>
        <w:rPr/>
      </w:pPr>
      <w:r>
        <w:rPr/>
        <w:t xml:space="preserve"> </w:t>
      </w:r>
      <w:r>
        <w:rPr/>
        <w:t xml:space="preserve">Moreover, given that neither EES nor EEMC are public utility companies, the Commission is restricted in its authority to regulate their activities.  Such authority is strictly limited to what is provided by statute or contractually agreed to, neither of which is applicable in this case. </w:t>
      </w:r>
    </w:p>
    <w:p>
      <w:pPr>
        <w:pStyle w:val="Normal"/>
        <w:spacing w:lineRule="auto" w:line="480"/>
        <w:jc w:val="both"/>
        <w:rPr>
          <w:b/>
        </w:rPr>
      </w:pPr>
      <w:r>
        <w:rPr>
          <w:b/>
        </w:rPr>
        <w:t>II.</w:t>
        <w:tab/>
        <w:t>ARGUMENT</w:t>
      </w:r>
    </w:p>
    <w:p>
      <w:pPr>
        <w:pStyle w:val="Normal"/>
        <w:ind w:hanging="720" w:start="1440" w:end="0"/>
        <w:jc w:val="both"/>
        <w:rPr>
          <w:b/>
        </w:rPr>
      </w:pPr>
      <w:r>
        <w:rPr>
          <w:b/>
        </w:rPr>
        <w:t>A.</w:t>
        <w:tab/>
        <w:t xml:space="preserve">The Commission Lacks Jurisdiction Over Alleged Irregularities in the Wholesale Market </w:t>
      </w:r>
    </w:p>
    <w:p>
      <w:pPr>
        <w:pStyle w:val="Normal"/>
        <w:ind w:hanging="720" w:start="720" w:end="0"/>
        <w:jc w:val="both"/>
        <w:rPr>
          <w:b/>
        </w:rPr>
      </w:pPr>
      <w:r>
        <w:rPr>
          <w:b/>
        </w:rPr>
        <w:t xml:space="preserve">   </w:t>
      </w:r>
    </w:p>
    <w:p>
      <w:pPr>
        <w:pStyle w:val="Normal"/>
        <w:ind w:hanging="720" w:start="2160" w:end="0"/>
        <w:jc w:val="both"/>
        <w:rPr>
          <w:b/>
        </w:rPr>
      </w:pPr>
      <w:r>
        <w:rPr>
          <w:b/>
        </w:rPr>
        <w:t>1.</w:t>
        <w:tab/>
        <w:t xml:space="preserve">The Wholesale Power Market is Under the Exclusive Jurisdiction of FERC </w:t>
      </w:r>
    </w:p>
    <w:p>
      <w:pPr>
        <w:pStyle w:val="Normal"/>
        <w:ind w:hanging="720" w:start="2160" w:end="0"/>
        <w:jc w:val="both"/>
        <w:rPr>
          <w:b/>
        </w:rPr>
      </w:pPr>
      <w:r>
        <w:rPr>
          <w:b/>
        </w:rPr>
        <w:t xml:space="preserve"> </w:t>
      </w:r>
    </w:p>
    <w:p>
      <w:pPr>
        <w:pStyle w:val="Normal"/>
        <w:spacing w:lineRule="auto" w:line="480"/>
        <w:ind w:firstLine="720" w:end="0"/>
        <w:jc w:val="both"/>
        <w:rPr/>
      </w:pPr>
      <w:r>
        <w:rPr/>
        <w:t xml:space="preserve">Federal regulation of wholesale power rates has its genesis in the United States Supreme Court’s decision in </w:t>
      </w:r>
      <w:r>
        <w:rPr>
          <w:i/>
        </w:rPr>
        <w:t>Public Utilities Commission of Rhode Island v. Attleboro Steam &amp; Electric Company.</w:t>
      </w:r>
      <w:r>
        <w:rPr>
          <w:rStyle w:val="FootnoteCharacters"/>
          <w:rStyle w:val="FootnoteReference"/>
        </w:rPr>
        <w:footnoteReference w:id="7"/>
      </w:r>
      <w:r>
        <w:rPr/>
        <w:t xml:space="preserve">  Therein, the Supreme Court struck down a regulation adopted by the Public Utilities Commission of Rhode Island, holding that under the Commerce Clause, states were without power to regulate the transmission and sale of wholesale electric power in interstate commerce.</w:t>
      </w:r>
      <w:r>
        <w:rPr>
          <w:rStyle w:val="FootnoteCharacters"/>
          <w:rStyle w:val="FootnoteReference"/>
        </w:rPr>
        <w:footnoteReference w:id="8"/>
      </w:r>
      <w:r>
        <w:rPr/>
        <w:t xml:space="preserve"> </w:t>
      </w:r>
    </w:p>
    <w:p>
      <w:pPr>
        <w:pStyle w:val="Normal"/>
        <w:spacing w:lineRule="auto" w:line="480"/>
        <w:ind w:firstLine="720" w:end="0"/>
        <w:jc w:val="both"/>
        <w:rPr/>
      </w:pPr>
      <w:r>
        <w:rPr/>
        <w:t xml:space="preserve">The legislative response to the </w:t>
      </w:r>
      <w:r>
        <w:rPr>
          <w:i/>
        </w:rPr>
        <w:t xml:space="preserve">Attelboro </w:t>
      </w:r>
      <w:r>
        <w:rPr/>
        <w:t>decision was the passage of the Federal Power Act (“FPA”).</w:t>
      </w:r>
      <w:r>
        <w:rPr>
          <w:rStyle w:val="FootnoteCharacters"/>
          <w:rStyle w:val="FootnoteReference"/>
        </w:rPr>
        <w:footnoteReference w:id="9"/>
      </w:r>
      <w:r>
        <w:rPr/>
        <w:t xml:space="preserve">  The FPA created a “bright line” test for delineating state and federal regulatory authority over power markets.  Under the act, the rates charged for wholesale power are within the exclusive jurisdiction of the FERC, while retail power rates are within the regulatory jurisdiction of the states.</w:t>
      </w:r>
      <w:r>
        <w:rPr>
          <w:rStyle w:val="FootnoteCharacters"/>
          <w:rStyle w:val="FootnoteReference"/>
        </w:rPr>
        <w:footnoteReference w:id="10"/>
      </w:r>
      <w:r>
        <w:rPr/>
        <w:t xml:space="preserve">  As the Supreme Court has explained, the “line of demarcation established in the Federal Power Act is “clear and complete. [The line] cuts sharply and cleanly between sales for resale and direct sales for consumptive uses.  No exceptions were made in either category for particular uses, quantities or otherwise.”</w:t>
      </w:r>
      <w:r>
        <w:rPr>
          <w:rStyle w:val="FootnoteCharacters"/>
          <w:rStyle w:val="FootnoteReference"/>
        </w:rPr>
        <w:footnoteReference w:id="11"/>
      </w:r>
      <w:r>
        <w:rPr/>
        <w:t xml:space="preserve">  </w:t>
      </w:r>
    </w:p>
    <w:p>
      <w:pPr>
        <w:pStyle w:val="Normal"/>
        <w:spacing w:lineRule="auto" w:line="480"/>
        <w:ind w:firstLine="720" w:end="0"/>
        <w:jc w:val="both"/>
        <w:rPr/>
      </w:pPr>
      <w:r>
        <w:rPr/>
        <w:t>The Supreme Court’s determination that the Federal Power Act created a “bright line” test for the assessment of relevant jurisdiction was grounded in certain provisions contained within the Act.  Pursuant to Section 201 of the FPA, the FERC’s jurisdiction was extended to all sales of electric energy at wholesale in interstate commerce.</w:t>
      </w:r>
      <w:r>
        <w:rPr>
          <w:rStyle w:val="FootnoteCharacters"/>
          <w:rStyle w:val="FootnoteReference"/>
        </w:rPr>
        <w:footnoteReference w:id="12"/>
      </w:r>
      <w:r>
        <w:rPr/>
        <w:t xml:space="preserve">  Specifically, the statute grants exclusive and plenary authority in the FERC to approve rates, terms, and conditions for the wholesale sale and interstate transmission of electric power.</w:t>
      </w:r>
      <w:r>
        <w:rPr>
          <w:rStyle w:val="FootnoteCharacters"/>
          <w:rStyle w:val="FootnoteReference"/>
        </w:rPr>
        <w:footnoteReference w:id="13"/>
      </w:r>
      <w:r>
        <w:rPr/>
        <w:t xml:space="preserve">  This grant of jurisdiction to the FERC to regulate the wholesale sale of electricity has been repeatedly recognized as exclusive.</w:t>
      </w:r>
      <w:r>
        <w:rPr>
          <w:rStyle w:val="FootnoteCharacters"/>
          <w:rStyle w:val="FootnoteReference"/>
        </w:rPr>
        <w:footnoteReference w:id="14"/>
      </w:r>
    </w:p>
    <w:p>
      <w:pPr>
        <w:pStyle w:val="Normal"/>
        <w:ind w:hanging="720" w:start="1440" w:end="0"/>
        <w:jc w:val="both"/>
        <w:rPr>
          <w:b/>
        </w:rPr>
      </w:pPr>
      <w:r>
        <w:rPr>
          <w:b/>
        </w:rPr>
        <w:t>2.</w:t>
        <w:tab/>
        <w:t xml:space="preserve">Restructuring of California Market Diminished Commission Jurisdiction over UDC Procurement </w:t>
      </w:r>
    </w:p>
    <w:p>
      <w:pPr>
        <w:pStyle w:val="Normal"/>
        <w:ind w:hanging="720" w:start="1440" w:end="0"/>
        <w:jc w:val="both"/>
        <w:rPr>
          <w:b/>
        </w:rPr>
      </w:pPr>
      <w:r>
        <w:rPr>
          <w:b/>
        </w:rPr>
      </w:r>
    </w:p>
    <w:p>
      <w:pPr>
        <w:pStyle w:val="Normal"/>
        <w:spacing w:lineRule="auto" w:line="480"/>
        <w:ind w:firstLine="720" w:end="0"/>
        <w:jc w:val="both"/>
        <w:rPr/>
      </w:pPr>
      <w:r>
        <w:rPr/>
        <w:t xml:space="preserve"> </w:t>
      </w:r>
      <w:r>
        <w:rPr/>
        <w:t>The restructuring of the California electric market, and the creation of the Power Exchange (“PX”) and Independent System Operator (“ISO”), shifted the manner in which generation was secured by utility companies for their retail customers.  Rather than self-providing generation, the utilities were directed to purchase electricity at wholesale through the Power Exchange and Independent System Operator. As a result, the Commission’s former jurisdiction to set retail rates for the generation of electricity based upon its determination of the reasonable cost thereof, gave way to the FERC’s exclusive jurisdiction to regulate wholesale power costs.  The Commission has acknowledged how the change in market structure resulted in its relinquishment of this jurisdiction:</w:t>
      </w:r>
    </w:p>
    <w:p>
      <w:pPr>
        <w:pStyle w:val="Normal"/>
        <w:ind w:start="720" w:end="720"/>
        <w:jc w:val="both"/>
        <w:rPr/>
      </w:pPr>
      <w:r>
        <w:rPr/>
        <w:t>The Federal Power Act (FPA) confers exclusive jurisdiction over rates, terms, and conditions for sales for resale (wholesale sales) on the FERC. Retail sales, even if the power originates out-of-state, are subject to exclusive state jurisdiction…. Because the power bid into the Power Exchange may be sold for resale, pricing mechanisms, including bidding protocol will be subject to FERC’s oversight.</w:t>
      </w:r>
      <w:r>
        <w:rPr>
          <w:rStyle w:val="FootnoteCharacters"/>
          <w:rStyle w:val="FootnoteReference"/>
        </w:rPr>
        <w:footnoteReference w:id="15"/>
      </w:r>
    </w:p>
    <w:p>
      <w:pPr>
        <w:pStyle w:val="Normal"/>
        <w:ind w:start="720" w:end="720"/>
        <w:jc w:val="both"/>
        <w:rPr/>
      </w:pPr>
      <w:r>
        <w:rPr/>
      </w:r>
    </w:p>
    <w:p>
      <w:pPr>
        <w:pStyle w:val="Normal"/>
        <w:spacing w:lineRule="auto" w:line="480"/>
        <w:ind w:firstLine="720" w:end="0"/>
        <w:jc w:val="both"/>
        <w:rPr/>
      </w:pPr>
      <w:r>
        <w:rPr/>
        <w:t>In conformance with the FERC’s exclusive jurisdiction in the area of wholesale rates, the ISO and PX filed tariffs with the FERC which dictated how the rates paid by SCE (and others in the market) for the wholesale purchases of electricity were to be determined.  In this respect, the FERC approved the PX’s tariffs that required SCE (and other purchasers) to pay the PX for wholesale purchases of electricity at prices established through the PX’s auction rules.  FERC also approved the tariffs pursuant to which the ISO charged the PX and the PX charged SCE (and other UDCs) for the ISO’s procurement of electricity in the real time market.</w:t>
      </w:r>
    </w:p>
    <w:p>
      <w:pPr>
        <w:pStyle w:val="Normal"/>
        <w:spacing w:lineRule="auto" w:line="480"/>
        <w:ind w:firstLine="720" w:end="0"/>
        <w:jc w:val="both"/>
        <w:rPr/>
      </w:pPr>
      <w:r>
        <w:rPr/>
        <w:t>In approving the establishment of the PX and ISO, the FERC made it abundantly clear that the rates established by the PX auction mechanism</w:t>
      </w:r>
      <w:r>
        <w:rPr>
          <w:rStyle w:val="FootnoteCharacters"/>
          <w:rStyle w:val="FootnoteReference"/>
        </w:rPr>
        <w:footnoteReference w:id="16"/>
      </w:r>
      <w:r>
        <w:rPr/>
        <w:t xml:space="preserve"> are subject to its exclusive jurisdiction pursuant to the FPA:</w:t>
      </w:r>
    </w:p>
    <w:p>
      <w:pPr>
        <w:pStyle w:val="Normal"/>
        <w:ind w:start="720" w:end="720"/>
        <w:jc w:val="both"/>
        <w:rPr/>
      </w:pPr>
      <w:r>
        <w:rPr/>
        <w:t>Pursuant to section 205(c) of the FPA, 16 U.S.C. § 824d(c), the Companies will file with the Commission the rate schedules and related contracts, rules and protocols by which they will make wholesale sales through the services provided by the PX…</w:t>
      </w:r>
      <w:r>
        <w:rPr>
          <w:i/>
        </w:rPr>
        <w:t>Once filed, these rate schedules and related contracts, rules and protocols will be subject to the exclusive jurisdiction of the Commission under section 205 and 206 of the FPA</w:t>
      </w:r>
      <w:r>
        <w:rPr/>
        <w:t>.</w:t>
      </w:r>
      <w:r>
        <w:rPr>
          <w:rStyle w:val="FootnoteCharacters"/>
          <w:rStyle w:val="FootnoteReference"/>
        </w:rPr>
        <w:footnoteReference w:id="17"/>
      </w:r>
    </w:p>
    <w:p>
      <w:pPr>
        <w:pStyle w:val="Normal"/>
        <w:ind w:start="720" w:end="720"/>
        <w:jc w:val="both"/>
        <w:rPr/>
      </w:pPr>
      <w:r>
        <w:rPr/>
      </w:r>
    </w:p>
    <w:p>
      <w:pPr>
        <w:pStyle w:val="Normal"/>
        <w:ind w:start="720" w:end="720"/>
        <w:jc w:val="both"/>
        <w:rPr/>
      </w:pPr>
      <w:r>
        <w:rPr/>
        <w:t>This jurisdiction was upheld by the D.C. Circuit:</w:t>
      </w:r>
    </w:p>
    <w:p>
      <w:pPr>
        <w:pStyle w:val="Normal"/>
        <w:ind w:start="720" w:end="720"/>
        <w:jc w:val="both"/>
        <w:rPr/>
      </w:pPr>
      <w:r>
        <w:rPr/>
      </w:r>
    </w:p>
    <w:p>
      <w:pPr>
        <w:pStyle w:val="Normal"/>
        <w:ind w:start="720" w:end="720"/>
        <w:jc w:val="both"/>
        <w:rPr/>
      </w:pPr>
      <w:r>
        <w:rPr/>
        <w:t>However, FERC ha[s] recognized a new kind of public utility in recent decisions concerning the California Power Exchange (“CalPX”), a state created marketplace that operates in the geographic area in which APX seeks to compete.  In its CalPx orders, FERC ha[s] constructed the FPA’s provision covering facilities for wholesale sales of electricity to include the operations of a power exchange if the operator exercises “effective control” over sales in the marketplace, or alternatively, if the operator is an “integral part of the transactional chain.” FERC thus concluded that, like CalPX, APX also exercises “effective control” over sales in its market was an integral part of the transactional chain because APX will determine the market price at which energy will be sold, and it will take the combined actions of the seller and buyers participants as well as APX to effectuate wholesale sale.</w:t>
      </w:r>
      <w:r>
        <w:rPr>
          <w:rStyle w:val="FootnoteCharacters"/>
          <w:rStyle w:val="FootnoteReference"/>
        </w:rPr>
        <w:footnoteReference w:id="18"/>
      </w:r>
    </w:p>
    <w:p>
      <w:pPr>
        <w:pStyle w:val="Normal"/>
        <w:ind w:start="720" w:end="720"/>
        <w:jc w:val="both"/>
        <w:rPr/>
      </w:pPr>
      <w:r>
        <w:rPr/>
      </w:r>
    </w:p>
    <w:p>
      <w:pPr>
        <w:pStyle w:val="Normal"/>
        <w:spacing w:lineRule="auto" w:line="480"/>
        <w:ind w:firstLine="720" w:end="0"/>
        <w:jc w:val="both"/>
        <w:rPr/>
      </w:pPr>
      <w:r>
        <w:rPr/>
        <w:t>In making such a determination, the Court noted the FERC’s broad discretion as to matters of jurisdiction:</w:t>
      </w:r>
    </w:p>
    <w:p>
      <w:pPr>
        <w:pStyle w:val="Normal"/>
        <w:ind w:start="720" w:end="720"/>
        <w:jc w:val="both"/>
        <w:rPr/>
      </w:pPr>
      <w:r>
        <w:rPr/>
        <w:t>If Congress left ambiguous how the FPA is to apply to power exchanges, the court will uphold FERC’s interpretation so long as it its reasonable.</w:t>
      </w:r>
      <w:r>
        <w:rPr>
          <w:rStyle w:val="FootnoteCharacters"/>
          <w:rStyle w:val="FootnoteReference"/>
        </w:rPr>
        <w:footnoteReference w:id="19"/>
      </w:r>
      <w:r>
        <w:rPr/>
        <w:t xml:space="preserve">            </w:t>
      </w:r>
    </w:p>
    <w:p>
      <w:pPr>
        <w:pStyle w:val="Normal"/>
        <w:ind w:hanging="720" w:start="720" w:end="720"/>
        <w:jc w:val="both"/>
        <w:rPr/>
      </w:pPr>
      <w:r>
        <w:rPr/>
      </w:r>
    </w:p>
    <w:p>
      <w:pPr>
        <w:pStyle w:val="Normal"/>
        <w:ind w:hanging="720" w:start="1440" w:end="720"/>
        <w:jc w:val="both"/>
        <w:rPr>
          <w:b/>
        </w:rPr>
      </w:pPr>
      <w:r>
        <w:rPr>
          <w:b/>
        </w:rPr>
        <w:t>3.</w:t>
        <w:tab/>
        <w:t xml:space="preserve">The FERC is Actively Exercising its Jurisdiction Over California’s Wholesale Market  </w:t>
      </w:r>
    </w:p>
    <w:p>
      <w:pPr>
        <w:pStyle w:val="Normal"/>
        <w:ind w:hanging="720" w:start="720" w:end="720"/>
        <w:jc w:val="both"/>
        <w:rPr>
          <w:b/>
        </w:rPr>
      </w:pPr>
      <w:r>
        <w:rPr>
          <w:b/>
        </w:rPr>
      </w:r>
    </w:p>
    <w:p>
      <w:pPr>
        <w:pStyle w:val="Normal"/>
        <w:spacing w:lineRule="auto" w:line="480"/>
        <w:ind w:firstLine="720" w:end="0"/>
        <w:jc w:val="both"/>
        <w:rPr/>
      </w:pPr>
      <w:r>
        <w:rPr/>
        <w:t xml:space="preserve">Not only does the FERC have jurisdiction over the wholesale electric market in California and any potential market power abuses occurring therein, but the FERC is currently exercising such jurisdiction.  In this regard, the FERC has issued a series of findings, orders and remedies through its November 1, 2000 and December 15, 2000 orders in Case No. EL00-95-000, </w:t>
      </w:r>
      <w:r>
        <w:rPr>
          <w:i/>
        </w:rPr>
        <w:t>et al.</w:t>
      </w:r>
      <w:r>
        <w:rPr/>
        <w:t xml:space="preserve"> which address the justness and reasonableness of prices in the wholesale market, as well as allegations of potential market power abuse. In its November 2000 Order, the FERC has clearly set forth its regulatory duty under the FPA:</w:t>
      </w:r>
    </w:p>
    <w:p>
      <w:pPr>
        <w:pStyle w:val="Normal"/>
        <w:ind w:start="720" w:end="720"/>
        <w:jc w:val="both"/>
        <w:rPr/>
      </w:pPr>
      <w:r>
        <w:rPr/>
        <w:t>The Commission is obligated under the FPA to ensure that the rates, terms and conditions of wholesale sales and transmission in interstate commerce by public utilities are just and reasonable, and not unduly discriminatory or preferential.  Under section 206 of the FPA, if the Commission finds that rates, charges or classifications for jurisdictional services, or rules, regulations, practices or contracts affecting rates or charges are not just and reasonable, or are unduly discriminatory or preferential, the Commission must determine the just and reasonable rate, charge, classification, rule regulation or practice to be in effect.  In exercising this responsibility in today’s electric industry environment, the Commission is faced with electric markets that are increasingly interstate in nature and increasingly dependent upon one another, and with markets that are in varying state of transition to competition at the wholesale and, in numerous states, retail level.  With respect to California, we are faced with a complex transition from one regulatory regime to another and efforts to establish competitive markets at both wholesale and retail levels.  In this particular proceeding our responsibility is to (1) determine whether public utility sellers to the ISO and PX are charging unjust and unreasonable rates and (2) whether the market rules governing public utility wholesale sellers in California, and affecting the wholesale rates of such public utility sellers, are resulting in, or have potential to result in wholesale rates that are unjust, unreasonable, unduly discriminatory, or preferential.  In particular, we are concerned bout whether these market structures and rules, particularly in conjunction with an imbalance of supply and demand, may give public utilities the ability to exercise market power and thereby charge unjust and unreasonable rates.</w:t>
      </w:r>
      <w:r>
        <w:rPr>
          <w:rStyle w:val="FootnoteCharacters"/>
          <w:rStyle w:val="FootnoteReference"/>
        </w:rPr>
        <w:footnoteReference w:id="20"/>
      </w:r>
    </w:p>
    <w:p>
      <w:pPr>
        <w:pStyle w:val="Normal"/>
        <w:ind w:start="720" w:end="720"/>
        <w:jc w:val="both"/>
        <w:rPr/>
      </w:pPr>
      <w:r>
        <w:rPr/>
      </w:r>
    </w:p>
    <w:p>
      <w:pPr>
        <w:pStyle w:val="Normal"/>
        <w:spacing w:lineRule="auto" w:line="480"/>
        <w:ind w:firstLine="720" w:end="0"/>
        <w:jc w:val="both"/>
        <w:rPr/>
      </w:pPr>
      <w:r>
        <w:rPr/>
        <w:t>In its December Order, the FERC acted on its obligations under the FPA to address current deficiencies in the California wholesale market by not only addressing the wholesale power prices, but a variety of market rules and practices which could impact such prices.</w:t>
      </w:r>
      <w:r>
        <w:rPr>
          <w:rStyle w:val="FootnoteCharacters"/>
          <w:rStyle w:val="FootnoteReference"/>
        </w:rPr>
        <w:footnoteReference w:id="21"/>
      </w:r>
      <w:r>
        <w:rPr/>
        <w:t xml:space="preserve">  Included among the FERC’s actions was the establishment of a comprehensive market monitoring scheme, including a “soft price cap” of $150/MWh.</w:t>
      </w:r>
      <w:r>
        <w:rPr>
          <w:rStyle w:val="FootnoteCharacters"/>
          <w:rStyle w:val="FootnoteReference"/>
        </w:rPr>
        <w:footnoteReference w:id="22"/>
      </w:r>
      <w:r>
        <w:rPr/>
        <w:t xml:space="preserve"> According to the December 15 Order, all sales in excess of this soft cap must be at negotiated rates and must be reported to the FERC for its review.  While the December Order did not grant rebates or refunds, the FERC made it clear that it was not abandoning its responsibility to establish just and reasonable wholesale power rates and that FERC is continuing in its efforts to investigate allegations of abused of market power.</w:t>
      </w:r>
      <w:r>
        <w:rPr>
          <w:rStyle w:val="FootnoteCharacters"/>
          <w:rStyle w:val="FootnoteReference"/>
        </w:rPr>
        <w:footnoteReference w:id="23"/>
      </w:r>
      <w:r>
        <w:rPr/>
        <w:t xml:space="preserve">  Indeed, in an order issued on March 9, 2001, the FERC, having received and reviewed generators’ weekly transaction reports for the month of January 2001 (as well as monthly reports submitted by the PX and ISO) determined that bids for certain transactions in to the California ISO and PX markets have not been shown to be just and reasonable and thus, that potential refunds are appropriate, absent the submission by the public utility sellers of cost or other justification for the prices charged.</w:t>
      </w:r>
      <w:r>
        <w:rPr>
          <w:rStyle w:val="FootnoteCharacters"/>
          <w:rStyle w:val="FootnoteReference"/>
        </w:rPr>
        <w:footnoteReference w:id="24"/>
      </w:r>
      <w:r>
        <w:rPr/>
        <w:t xml:space="preserve"> It should be noted that no Enron affiliates were listed among the generators subject to potential refund obligations for transactions occurring in January 2001.</w:t>
      </w:r>
      <w:r>
        <w:rPr>
          <w:rStyle w:val="FootnoteCharacters"/>
          <w:rStyle w:val="FootnoteReference"/>
        </w:rPr>
        <w:footnoteReference w:id="25"/>
      </w:r>
    </w:p>
    <w:p>
      <w:pPr>
        <w:pStyle w:val="Normal"/>
        <w:ind w:hanging="720" w:start="1440" w:end="0"/>
        <w:jc w:val="both"/>
        <w:rPr>
          <w:b/>
        </w:rPr>
      </w:pPr>
      <w:r>
        <w:rPr>
          <w:b/>
        </w:rPr>
        <w:t>4.</w:t>
        <w:tab/>
        <w:t>The Commission Cannot Grant the Relief Requested in SCE’s Counter-Complaint</w:t>
      </w:r>
    </w:p>
    <w:p>
      <w:pPr>
        <w:pStyle w:val="Normal"/>
        <w:ind w:hanging="720" w:start="1440" w:end="0"/>
        <w:jc w:val="both"/>
        <w:rPr>
          <w:b/>
        </w:rPr>
      </w:pPr>
      <w:r>
        <w:rPr>
          <w:b/>
        </w:rPr>
        <w:tab/>
      </w:r>
    </w:p>
    <w:p>
      <w:pPr>
        <w:pStyle w:val="Normal"/>
        <w:spacing w:lineRule="auto" w:line="480"/>
        <w:ind w:firstLine="720" w:end="0"/>
        <w:jc w:val="both"/>
        <w:rPr/>
      </w:pPr>
      <w:r>
        <w:rPr/>
        <w:t>Congress’ clear mandate that wholesale power markets be regulated exclusively by FERC, coupled with the FERC’s ongoing efforts to address, in a comprehensive fashion, the current dislocations in the California wholesale power market, illustrate that SCE’s Counter-Complaint in this case raises questions outside the jurisdiction of this Commission.  In order for SCE to prevail on its Counter-Complaint it would need a ruling from the Commission that the alleged market power abuses of EES and EEMC (in association with the other Enron affiliates) resulted in unjust and unreasonable wholesale power costs, and thus, by correlation, unjust and unreasonable PX credits.    The lawfulness of the rates charged for wholesale power sold in interstate commerce is a question of federal law that only the FERC can decide.</w:t>
      </w:r>
      <w:r>
        <w:rPr>
          <w:rStyle w:val="FootnoteCharacters"/>
          <w:rStyle w:val="FootnoteReference"/>
        </w:rPr>
        <w:footnoteReference w:id="26"/>
      </w:r>
      <w:r>
        <w:rPr/>
        <w:t xml:space="preserve">  The Commission has no jurisdiction to make the findings necessary for SCE to prevail.  Accordingly, its Counter-Complaint must be dismissed.  </w:t>
      </w:r>
      <w:r>
        <w:rPr>
          <w:rStyle w:val="FootnoteCharacters"/>
          <w:rStyle w:val="FootnoteReference"/>
        </w:rPr>
        <w:footnoteReference w:id="27"/>
      </w:r>
      <w:r>
        <w:rPr/>
        <w:t xml:space="preserve"> </w:t>
      </w:r>
    </w:p>
    <w:p>
      <w:pPr>
        <w:pStyle w:val="Normal"/>
        <w:spacing w:lineRule="auto" w:line="480"/>
        <w:ind w:firstLine="720" w:end="0"/>
        <w:jc w:val="both"/>
        <w:rPr>
          <w:b/>
        </w:rPr>
      </w:pPr>
      <w:r>
        <w:rPr>
          <w:b/>
        </w:rPr>
        <w:t>B.</w:t>
        <w:tab/>
        <w:t>The Commission’s Jurisdiction over ESPs is Narrowly Circumscribed</w:t>
      </w:r>
    </w:p>
    <w:p>
      <w:pPr>
        <w:pStyle w:val="Normal"/>
        <w:spacing w:lineRule="auto" w:line="480"/>
        <w:ind w:firstLine="720" w:end="0"/>
        <w:jc w:val="both"/>
        <w:rPr/>
      </w:pPr>
      <w:r>
        <w:rPr/>
        <w:t>An Energy Service Provider (“ESP”), such as EES and EEMC, is not a public utility as such is defined under Section 216 of the California Public Utilities Code.  As such, the Commission’s authority over the regulation of ESPs is limited to specific statutory grants or agreed-to jurisdiction.</w:t>
      </w:r>
    </w:p>
    <w:p>
      <w:pPr>
        <w:pStyle w:val="Normal"/>
        <w:spacing w:lineRule="auto" w:line="480"/>
        <w:ind w:firstLine="720" w:end="0"/>
        <w:jc w:val="both"/>
        <w:rPr/>
      </w:pPr>
      <w:r>
        <w:rPr/>
        <w:t>While SCE is correct that both EES and EEMC are registered electric service providers under Section 394 of the Public Utilities Code,</w:t>
      </w:r>
      <w:r>
        <w:rPr>
          <w:rStyle w:val="FootnoteCharacters"/>
          <w:rStyle w:val="FootnoteReference"/>
        </w:rPr>
        <w:footnoteReference w:id="28"/>
      </w:r>
      <w:r>
        <w:rPr/>
        <w:t xml:space="preserve"> the Commission’s jurisdiction over ESPs pursuant to that Section is circumscribed by the statutory language:</w:t>
      </w:r>
    </w:p>
    <w:p>
      <w:pPr>
        <w:pStyle w:val="Normal"/>
        <w:ind w:start="720" w:end="720"/>
        <w:jc w:val="both"/>
        <w:rPr/>
      </w:pPr>
      <w:r>
        <w:rPr/>
        <w:t>The commission may enforce the provisions of Sections 2102, 2103, 2104, 2105, 2107 and 2114 as if those electric service providers were public utilities as defined in those code sections.  Notwithstanding the above, nothing in this section grants the commission jurisdiction to regulate electric service providers other than as specifically set forth in this part.</w:t>
      </w:r>
      <w:r>
        <w:rPr>
          <w:rStyle w:val="FootnoteCharacters"/>
          <w:rStyle w:val="FootnoteReference"/>
        </w:rPr>
        <w:footnoteReference w:id="29"/>
      </w:r>
    </w:p>
    <w:p>
      <w:pPr>
        <w:pStyle w:val="Normal"/>
        <w:ind w:start="720" w:end="720"/>
        <w:jc w:val="both"/>
        <w:rPr/>
      </w:pPr>
      <w:r>
        <w:rPr/>
      </w:r>
    </w:p>
    <w:p>
      <w:pPr>
        <w:pStyle w:val="Normal"/>
        <w:spacing w:lineRule="auto" w:line="480"/>
        <w:jc w:val="both"/>
        <w:rPr/>
      </w:pPr>
      <w:r>
        <w:rPr/>
        <w:t>The grant of authority given the Commission over ESPs pursuant to Section 394.25 affords the Commission two areas of authority over ESPs, neither of which are applicable to the first cause of action under the counter-complaint brought by SCE against EES and EEMC.</w:t>
      </w:r>
    </w:p>
    <w:p>
      <w:pPr>
        <w:pStyle w:val="Normal"/>
        <w:spacing w:lineRule="auto" w:line="480"/>
        <w:ind w:firstLine="720" w:end="0"/>
        <w:jc w:val="both"/>
        <w:rPr/>
      </w:pPr>
      <w:r>
        <w:rPr/>
        <w:t>First the Commission is provided the authority to bring an action against an ESP in superior court for failure to comply with law or any order, decision, rule, direction or requirement of the Commission as well as to enforce any penalties resulting from such action.</w:t>
      </w:r>
      <w:r>
        <w:rPr>
          <w:rStyle w:val="FootnoteCharacters"/>
          <w:rStyle w:val="FootnoteReference"/>
        </w:rPr>
        <w:footnoteReference w:id="30"/>
      </w:r>
      <w:r>
        <w:rPr/>
        <w:t xml:space="preserve">  Second the Commission is given the authority to enforce the consumer protection guidelines as set forth in Section 394.  While the latter grant provides the Commission the jurisdiction to adjudicate complaints against ESPs, the nature of these complaints is limited to those involving “electric service provided by an electric service provider and cannot be expanded to include to include either an award of damages or regulation of the rates or charges of the ESP” brought by residential or small commercial customers.  Nowhere within these statutory grants of jurisdiction over ESPs is the Commission given the authority to adjudicate a claim involving alleged exercise of market power in the California wholesale electric generation market by and ESP and its affiliates.  </w:t>
      </w:r>
    </w:p>
    <w:p>
      <w:pPr>
        <w:pStyle w:val="Normal"/>
        <w:spacing w:lineRule="auto" w:line="480"/>
        <w:ind w:firstLine="720" w:end="0"/>
        <w:jc w:val="both"/>
        <w:rPr/>
      </w:pPr>
      <w:r>
        <w:rPr/>
        <w:t xml:space="preserve">Absent statutory jurisdiction, the only other manner which the Commission would have leave to adjudicate a claim against an ESP is if such authority was provided it through contract.  In this regard, EES and EEMC have contracted with SCE under its standard Energy Service Provider Agreement. Section 15 of that agreement, addressing dispute resolution, establishes varying procedures, depending on whether the party whose conduct is in question is the ESP or the utility.    Review of the provisions pertaining to alleged transgressions of the ESP under the agreement reveal that:   </w:t>
      </w:r>
    </w:p>
    <w:p>
      <w:pPr>
        <w:pStyle w:val="Normal"/>
        <w:ind w:start="720" w:end="720"/>
        <w:jc w:val="both"/>
        <w:rPr/>
      </w:pPr>
      <w:r>
        <w:rPr/>
        <w:t xml:space="preserve">Any dispute arising between the Parties relating to the interpretation of this Agreement or to the performance of the ESPs obligations hereunder (including the performance of Billing Services, Metering Services and MDMA Services by the ESP) shall be reduced to writing and referred to the Parties representatives identified on Attachment A for resolution.  Should such a dispute arises, the Parties shall be required to meet and confer in an effort to resolve their dispute.  Pending resolution, the Parties shall proceed diligently with the performance of their respective obligations under this Agreement, except if this Agreement, except if this Agreement has been terminated under Section 4.2.  </w:t>
      </w:r>
      <w:r>
        <w:rPr>
          <w:b/>
          <w:i/>
        </w:rPr>
        <w:t xml:space="preserve">If the parties fail to reach an agreement within a reasonable period of time, the Parties may mutually agree to pursue mediation or arbitration to resolve such issues. </w:t>
      </w:r>
      <w:r>
        <w:rPr>
          <w:rStyle w:val="FootnoteCharacters"/>
          <w:rStyle w:val="FootnoteReference"/>
          <w:b/>
          <w:i/>
        </w:rPr>
        <w:footnoteReference w:id="31"/>
      </w:r>
    </w:p>
    <w:p>
      <w:pPr>
        <w:pStyle w:val="Normal"/>
        <w:ind w:start="720" w:end="720"/>
        <w:jc w:val="both"/>
        <w:rPr/>
      </w:pPr>
      <w:r>
        <w:rPr/>
      </w:r>
    </w:p>
    <w:p>
      <w:pPr>
        <w:pStyle w:val="Normal"/>
        <w:spacing w:lineRule="auto" w:line="480"/>
        <w:jc w:val="both"/>
        <w:rPr/>
      </w:pPr>
      <w:r>
        <w:rPr/>
        <w:t>Nothing in these agreed-to resolution procedures affords the Commission any jurisdiction over the first cause of action under the counter-complaint.  First, it solely addresses performance under the ESP Agreement.  The alleged activity of EES and EEMC set forth under the first cause of action in no manner relates to their obligations under their respective ESP Service Agreements with SCE.  Second, at no time did SCE reduce the dispute to writing nor initiate a meet and confer session.  Third, and most critical to SCE’s counter-complaint, is that the contract language does not call for the dispute to be adjudicated by the Commission, but calls for the parties to pursue mediation or arbitration.  Such language is in marked contrast to the language called for in the instance of a question as to SCE’s performance under the agreement.  In such circumstances:</w:t>
      </w:r>
    </w:p>
    <w:p>
      <w:pPr>
        <w:pStyle w:val="Normal"/>
        <w:ind w:start="720" w:end="720"/>
        <w:jc w:val="both"/>
        <w:rPr/>
      </w:pPr>
      <w:r>
        <w:rPr/>
        <w:t xml:space="preserve"> </w:t>
      </w:r>
      <w:r>
        <w:rPr/>
        <w:t>[I]f the parties fail to reach an within a reasonable period of time, the matter shall, upon demand of either party, be submitted to resolution before the CPUC in accordance with CPUC rules, regulations, and procedures applicable to resolution of such disputes.</w:t>
      </w:r>
      <w:r>
        <w:rPr>
          <w:rStyle w:val="FootnoteCharacters"/>
          <w:rStyle w:val="FootnoteReference"/>
        </w:rPr>
        <w:footnoteReference w:id="32"/>
      </w:r>
    </w:p>
    <w:p>
      <w:pPr>
        <w:pStyle w:val="Normal"/>
        <w:ind w:start="720" w:end="720"/>
        <w:jc w:val="both"/>
        <w:rPr/>
      </w:pPr>
      <w:r>
        <w:rPr/>
      </w:r>
    </w:p>
    <w:p>
      <w:pPr>
        <w:pStyle w:val="Normal"/>
        <w:spacing w:lineRule="auto" w:line="480"/>
        <w:jc w:val="both"/>
        <w:rPr/>
      </w:pPr>
      <w:r>
        <w:rPr/>
        <w:t xml:space="preserve"> </w:t>
      </w:r>
      <w:r>
        <w:rPr/>
        <w:t xml:space="preserve">The reason for the differentiation in language is clear – the Commission’s jurisdiction over ESPs is narrowly circumscribed by statute and does not extend to an ESP’s performance and obligations under SCE’s ESP Service Agreement.  </w:t>
      </w:r>
    </w:p>
    <w:p>
      <w:pPr>
        <w:pStyle w:val="Normal"/>
        <w:spacing w:lineRule="auto" w:line="480"/>
        <w:ind w:firstLine="720" w:end="0"/>
        <w:jc w:val="both"/>
        <w:rPr>
          <w:b/>
        </w:rPr>
      </w:pPr>
      <w:r>
        <w:rPr>
          <w:b/>
        </w:rPr>
        <w:t>C.</w:t>
        <w:tab/>
        <w:t xml:space="preserve">If Counter-Complaint Allowed to Go Forward, Relief is Effectively Denied </w:t>
        <w:tab/>
      </w:r>
    </w:p>
    <w:p>
      <w:pPr>
        <w:pStyle w:val="Normal"/>
        <w:spacing w:lineRule="auto" w:line="480"/>
        <w:jc w:val="both"/>
        <w:rPr/>
      </w:pPr>
      <w:r>
        <w:rPr>
          <w:b/>
        </w:rPr>
        <w:tab/>
      </w:r>
      <w:r>
        <w:rPr/>
        <w:t>The First Cause of Action under SCE’s Counter-Complaint raises issues which, if allowed to go forward, would change the nature and tenor of the matters to be resolved by the Commission in its adjudication of the complaint lodged by EES and EEMC against SCE. Despite, the fact that the ALJ has sent the Counter-Complaint on a separate procedure track, it will effectively deny EES and EEMC the ability to adjudicate its complaint.  Any decision that is made on EES and EEMC’s complaint will be held hostage to a determination on the Counter-Complaint.   SCE will be in the position of trying to prove market power abuses by the affiliated Enron companies, when reports issued by the California Power Exchange, Independent System Operator Market Surveillance Committee, and the FERC itself, have been unable to prove the existence of such.</w:t>
      </w:r>
      <w:r>
        <w:rPr>
          <w:rStyle w:val="FootnoteCharacters"/>
          <w:rStyle w:val="FootnoteReference"/>
        </w:rPr>
        <w:footnoteReference w:id="33"/>
      </w:r>
      <w:r>
        <w:rPr/>
        <w:t xml:space="preserve">  Given this fact, SCE is no doubt intending to use the Commission as a forum to conduct a fishing expedition in an attempt to prove what these other agencies found no evidence of.  Unquestionably this quest will involve extremely burdensome discovery on EES and EEMC. Given the nature of the alleged abuses by EES and EEMC, the discovery no doubt will seek highly confidential information and thus will lead to discovery disputes.  The bottom line is that the only thing that will be achieved if SCE’s Counter-Complaint is allowed to go forward is significant delay.  The Commission should not countenance such deliberate stall tactics.  </w:t>
      </w:r>
    </w:p>
    <w:p>
      <w:pPr>
        <w:pStyle w:val="Normal"/>
        <w:spacing w:lineRule="auto" w:line="480"/>
        <w:jc w:val="both"/>
        <w:rPr>
          <w:b/>
        </w:rPr>
      </w:pPr>
      <w:r>
        <w:rPr>
          <w:b/>
        </w:rPr>
        <w:t>III.</w:t>
        <w:tab/>
        <w:t>REQUEST FOR ORAL ARGUMENT</w:t>
      </w:r>
    </w:p>
    <w:p>
      <w:pPr>
        <w:pStyle w:val="Normal"/>
        <w:spacing w:lineRule="auto" w:line="480"/>
        <w:jc w:val="both"/>
        <w:rPr/>
      </w:pPr>
      <w:r>
        <w:rPr>
          <w:b/>
        </w:rPr>
        <w:tab/>
      </w:r>
      <w:r>
        <w:rPr/>
        <w:t>In accord with the directive of the Presiding Administrative Law Judge, EES and EEMC request oral argument before the Assigned Administrative Law Judge or the Law and Motions</w:t>
      </w:r>
      <w:r>
        <w:rPr>
          <w:b/>
        </w:rPr>
        <w:t xml:space="preserve"> </w:t>
      </w:r>
      <w:r>
        <w:rPr/>
        <w:t xml:space="preserve">Judge on this Motion to Dismiss.  The impact on these proceedings if the Counter-Complaint is allowed to go forward will be significant.  Accordingly, EES and EEMC submit that the Commission should have the advantage of as complete a record as possible upon which to render its decision on the subject Motion. </w:t>
      </w:r>
    </w:p>
    <w:p>
      <w:pPr>
        <w:pStyle w:val="Normal"/>
        <w:spacing w:lineRule="auto" w:line="480"/>
        <w:jc w:val="both"/>
        <w:rPr>
          <w:b/>
        </w:rPr>
      </w:pPr>
      <w:r>
        <w:rPr>
          <w:b/>
        </w:rPr>
        <w:t>IV.</w:t>
        <w:tab/>
        <w:t>CONCLUSION</w:t>
      </w:r>
    </w:p>
    <w:p>
      <w:pPr>
        <w:pStyle w:val="Normal"/>
        <w:spacing w:lineRule="auto" w:line="480"/>
        <w:jc w:val="both"/>
        <w:rPr/>
      </w:pPr>
      <w:r>
        <w:rPr>
          <w:b/>
        </w:rPr>
        <w:tab/>
      </w:r>
      <w:r>
        <w:rPr/>
        <w:t>The Commission lacks the jurisdiction to adjudicate the first cause of action under SCE’s counter-complaint.  As such, the Commission must dismiss the counter-complaint.</w:t>
      </w:r>
    </w:p>
    <w:p>
      <w:pPr>
        <w:pStyle w:val="Normal"/>
        <w:spacing w:lineRule="auto" w:line="480"/>
        <w:ind w:firstLine="720" w:start="3600" w:end="0"/>
        <w:jc w:val="both"/>
        <w:rPr/>
      </w:pPr>
      <w:r>
        <w:rPr/>
        <w:t xml:space="preserve">Respectfully submitted, </w:t>
      </w:r>
    </w:p>
    <w:p>
      <w:pPr>
        <w:pStyle w:val="PleadingSignature"/>
        <w:spacing w:before="240" w:after="0"/>
        <w:ind w:start="4320" w:end="0"/>
        <w:rPr/>
      </w:pPr>
      <w:r>
        <w:rPr/>
        <w:t>GOODIN, MACBRIDE, SQUERI,</w:t>
        <w:br/>
        <w:t>RITCHIE &amp; DAY, LLP</w:t>
      </w:r>
    </w:p>
    <w:p>
      <w:pPr>
        <w:pStyle w:val="PleadingSignature"/>
        <w:tabs>
          <w:tab w:val="left" w:pos="5040" w:leader="none"/>
          <w:tab w:val="left" w:pos="6480" w:leader="none"/>
          <w:tab w:val="right" w:pos="9360" w:leader="none"/>
        </w:tabs>
        <w:ind w:start="4320" w:end="0"/>
        <w:rPr/>
      </w:pPr>
      <w:r>
        <w:rPr/>
        <w:t>505 Sansome Street, Suite 900</w:t>
        <w:br/>
        <w:t>San Francisco, California  94111</w:t>
        <w:br/>
        <w:t>Telephone:  (415) 392-7900</w:t>
        <w:br/>
        <w:t>Facsimile:   (415) 398-4321</w:t>
      </w:r>
    </w:p>
    <w:p>
      <w:pPr>
        <w:pStyle w:val="PleadingSignature"/>
        <w:tabs>
          <w:tab w:val="left" w:pos="5040" w:leader="none"/>
          <w:tab w:val="left" w:pos="6480" w:leader="none"/>
          <w:tab w:val="right" w:pos="9360" w:leader="none"/>
        </w:tabs>
        <w:ind w:start="4320" w:end="0"/>
        <w:rPr/>
      </w:pPr>
      <w:r>
        <w:rPr/>
      </w:r>
    </w:p>
    <w:p>
      <w:pPr>
        <w:pStyle w:val="PleadingSignature"/>
        <w:tabs>
          <w:tab w:val="left" w:pos="5040" w:leader="none"/>
          <w:tab w:val="left" w:pos="6480" w:leader="none"/>
          <w:tab w:val="right" w:pos="9360" w:leader="none"/>
        </w:tabs>
        <w:ind w:start="4320" w:end="0"/>
        <w:rPr/>
      </w:pPr>
      <w:r>
        <w:rPr/>
      </w:r>
    </w:p>
    <w:p>
      <w:pPr>
        <w:pStyle w:val="PleadingSignature"/>
        <w:tabs>
          <w:tab w:val="left" w:pos="5040" w:leader="none"/>
          <w:tab w:val="left" w:pos="6480" w:leader="none"/>
          <w:tab w:val="right" w:pos="9360" w:leader="none"/>
        </w:tabs>
        <w:ind w:start="4320" w:end="0"/>
        <w:rPr/>
      </w:pPr>
      <w:r>
        <w:rPr/>
        <w:t>By_________________________</w:t>
      </w:r>
    </w:p>
    <w:p>
      <w:pPr>
        <w:pStyle w:val="PleadingSignature"/>
        <w:tabs>
          <w:tab w:val="left" w:pos="5040" w:leader="none"/>
          <w:tab w:val="left" w:pos="6480" w:leader="none"/>
          <w:tab w:val="right" w:pos="9360" w:leader="none"/>
        </w:tabs>
        <w:ind w:start="4320" w:end="0"/>
        <w:rPr/>
      </w:pPr>
      <w:r>
        <w:rPr/>
        <w:tab/>
        <w:t>Michael B. Day</w:t>
      </w:r>
    </w:p>
    <w:p>
      <w:pPr>
        <w:pStyle w:val="PleadingSignature"/>
        <w:tabs>
          <w:tab w:val="left" w:pos="5040" w:leader="none"/>
          <w:tab w:val="left" w:pos="6480" w:leader="none"/>
          <w:tab w:val="right" w:pos="9360" w:leader="none"/>
        </w:tabs>
        <w:ind w:start="4320" w:end="0"/>
        <w:rPr/>
      </w:pPr>
      <w:r>
        <w:rPr/>
        <w:tab/>
        <w:t>Jeanne M. Bennett</w:t>
      </w:r>
    </w:p>
    <w:p>
      <w:pPr>
        <w:pStyle w:val="PleadingSignature"/>
        <w:tabs>
          <w:tab w:val="left" w:pos="5040" w:leader="none"/>
          <w:tab w:val="left" w:pos="6480" w:leader="none"/>
          <w:tab w:val="right" w:pos="9360" w:leader="none"/>
        </w:tabs>
        <w:ind w:start="4320" w:end="0"/>
        <w:rPr/>
      </w:pPr>
      <w:r>
        <w:rPr/>
      </w:r>
    </w:p>
    <w:p>
      <w:pPr>
        <w:pStyle w:val="PleadingSignature"/>
        <w:tabs>
          <w:tab w:val="left" w:pos="5040" w:leader="none"/>
          <w:tab w:val="left" w:pos="6480" w:leader="none"/>
          <w:tab w:val="right" w:pos="9360" w:leader="none"/>
        </w:tabs>
        <w:ind w:start="4320" w:end="0"/>
        <w:rPr/>
      </w:pPr>
      <w:r>
        <w:rPr/>
        <w:t>Attorneys for</w:t>
      </w:r>
    </w:p>
    <w:p>
      <w:pPr>
        <w:pStyle w:val="PleadingSignature"/>
        <w:tabs>
          <w:tab w:val="left" w:pos="5040" w:leader="none"/>
          <w:tab w:val="left" w:pos="6480" w:leader="none"/>
          <w:tab w:val="right" w:pos="9360" w:leader="none"/>
        </w:tabs>
        <w:ind w:start="4320" w:end="0"/>
        <w:rPr/>
      </w:pPr>
      <w:r>
        <w:rPr/>
        <w:t>Enron Energy Services, Inc and</w:t>
      </w:r>
    </w:p>
    <w:p>
      <w:pPr>
        <w:pStyle w:val="PleadingSignature"/>
        <w:tabs>
          <w:tab w:val="left" w:pos="5040" w:leader="none"/>
          <w:tab w:val="left" w:pos="6480" w:leader="none"/>
          <w:tab w:val="right" w:pos="9360" w:leader="none"/>
        </w:tabs>
        <w:ind w:start="4320" w:end="0"/>
        <w:rPr/>
      </w:pPr>
      <w:r>
        <w:rPr/>
        <w:t>Enron Energy Marketing Corp.</w:t>
      </w:r>
    </w:p>
    <w:p>
      <w:pPr>
        <w:pStyle w:val="PleadingSignature"/>
        <w:tabs>
          <w:tab w:val="left" w:pos="5040" w:leader="none"/>
          <w:tab w:val="left" w:pos="6480" w:leader="none"/>
          <w:tab w:val="right" w:pos="9360" w:leader="none"/>
        </w:tabs>
        <w:ind w:start="4320" w:end="0"/>
        <w:rPr/>
      </w:pPr>
      <w:r>
        <w:rPr/>
      </w:r>
    </w:p>
    <w:p>
      <w:pPr>
        <w:pStyle w:val="Normal"/>
        <w:spacing w:lineRule="auto" w:line="480"/>
        <w:jc w:val="both"/>
        <w:rPr/>
      </w:pPr>
      <w:r>
        <w:rPr/>
        <w:t xml:space="preserve">March 19, 2001 </w:t>
        <w:tab/>
        <w:tab/>
        <w:t xml:space="preserve"> </w:t>
      </w:r>
    </w:p>
    <w:p>
      <w:pPr>
        <w:pStyle w:val="Normal"/>
        <w:spacing w:lineRule="auto" w:line="480"/>
        <w:jc w:val="both"/>
        <w:rPr/>
      </w:pPr>
      <w:r>
        <w:rPr>
          <w:rStyle w:val="zzmpTrailerItem"/>
        </w:rPr>
        <w:t>2704/009/X22427-1</w:t>
      </w:r>
      <w:r>
        <w:rPr/>
        <w:t xml:space="preserve">   </w:t>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152" w:footer="720"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5">
              <wp:simplePos x="0" y="0"/>
              <wp:positionH relativeFrom="margin">
                <wp:align>center</wp:align>
              </wp:positionH>
              <wp:positionV relativeFrom="paragraph">
                <wp:posOffset>635</wp:posOffset>
              </wp:positionV>
              <wp:extent cx="1530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ind w:hanging="720" w:start="720" w:end="0"/>
        <w:jc w:val="both"/>
        <w:rPr/>
      </w:pPr>
      <w:r>
        <w:rPr>
          <w:rStyle w:val="FootnoteCharacters"/>
        </w:rPr>
        <w:footnoteRef/>
      </w:r>
      <w:r>
        <w:rPr/>
        <w:t xml:space="preserve"> </w:t>
      </w:r>
      <w:r>
        <w:rPr/>
        <w:tab/>
        <w:t>“Answer and Counter-Complaint” Southern California Edison Company, C. 01-01-0029, ¶ 35.</w:t>
      </w:r>
    </w:p>
  </w:footnote>
  <w:footnote w:id="3">
    <w:p>
      <w:pPr>
        <w:pStyle w:val="FootnoteText"/>
        <w:spacing w:before="0" w:after="240"/>
        <w:ind w:hanging="720" w:start="720" w:end="0"/>
        <w:jc w:val="both"/>
        <w:rPr/>
      </w:pPr>
      <w:r>
        <w:rPr>
          <w:rStyle w:val="FootnoteCharacters"/>
        </w:rPr>
        <w:footnoteRef/>
      </w:r>
      <w:r>
        <w:rPr/>
        <w:t xml:space="preserve"> </w:t>
      </w:r>
      <w:r>
        <w:rPr/>
        <w:tab/>
        <w:t xml:space="preserve">In accord with Commission Decision 97-08-056 and implementing tariffs, the PX credit provided to direct access customers equals the amount it would have cost the UDC to procure power for the Direct Access customer in the wholesale market, i.e., the UDCs’ avoided cost for power purchases.  </w:t>
      </w:r>
    </w:p>
  </w:footnote>
  <w:footnote w:id="4">
    <w:p>
      <w:pPr>
        <w:pStyle w:val="FootnoteText"/>
        <w:spacing w:before="0" w:after="240"/>
        <w:ind w:hanging="720" w:start="720" w:end="0"/>
        <w:jc w:val="both"/>
        <w:rPr/>
      </w:pPr>
      <w:r>
        <w:rPr>
          <w:rStyle w:val="FootnoteCharacters"/>
        </w:rPr>
        <w:footnoteRef/>
      </w:r>
      <w:r>
        <w:rPr/>
        <w:t xml:space="preserve"> </w:t>
      </w:r>
      <w:r>
        <w:rPr/>
        <w:tab/>
      </w:r>
      <w:r>
        <w:rPr>
          <w:i/>
        </w:rPr>
        <w:t>Id.</w:t>
      </w:r>
      <w:r>
        <w:rPr/>
        <w:t>at ¶ 40.</w:t>
      </w:r>
    </w:p>
  </w:footnote>
  <w:footnote w:id="5">
    <w:p>
      <w:pPr>
        <w:pStyle w:val="FootnoteText"/>
        <w:spacing w:before="0" w:after="240"/>
        <w:ind w:hanging="720" w:start="720" w:end="0"/>
        <w:jc w:val="both"/>
        <w:rPr/>
      </w:pPr>
      <w:r>
        <w:rPr>
          <w:rStyle w:val="FootnoteCharacters"/>
        </w:rPr>
        <w:footnoteRef/>
      </w:r>
      <w:r>
        <w:rPr/>
        <w:t xml:space="preserve"> </w:t>
      </w:r>
      <w:r>
        <w:rPr/>
        <w:tab/>
        <w:t>Southern California Edison Company, “Schedule PX, Power Exchange Energy,” Revised Cal. PUC Sheet No. 27481-E.</w:t>
      </w:r>
    </w:p>
  </w:footnote>
  <w:footnote w:id="6">
    <w:p>
      <w:pPr>
        <w:pStyle w:val="FootnoteText"/>
        <w:spacing w:before="0" w:after="240"/>
        <w:ind w:hanging="720" w:start="720" w:end="0"/>
        <w:jc w:val="both"/>
        <w:rPr/>
      </w:pPr>
      <w:r>
        <w:rPr>
          <w:rStyle w:val="FootnoteCharacters"/>
        </w:rPr>
        <w:footnoteRef/>
      </w:r>
      <w:r>
        <w:rPr/>
        <w:t xml:space="preserve"> </w:t>
      </w:r>
      <w:r>
        <w:rPr/>
        <w:tab/>
      </w:r>
      <w:r>
        <w:rPr>
          <w:i/>
        </w:rPr>
        <w:t>Id.</w:t>
      </w:r>
    </w:p>
  </w:footnote>
  <w:footnote w:id="7">
    <w:p>
      <w:pPr>
        <w:pStyle w:val="FootnoteText"/>
        <w:spacing w:before="0" w:after="240"/>
        <w:ind w:hanging="720" w:start="720" w:end="0"/>
        <w:jc w:val="both"/>
        <w:rPr/>
      </w:pPr>
      <w:r>
        <w:rPr>
          <w:rStyle w:val="FootnoteCharacters"/>
        </w:rPr>
        <w:footnoteRef/>
      </w:r>
      <w:r>
        <w:rPr/>
        <w:t xml:space="preserve"> </w:t>
      </w:r>
      <w:r>
        <w:rPr/>
        <w:tab/>
        <w:t>273 U.S. 83 (1927).</w:t>
      </w:r>
    </w:p>
  </w:footnote>
  <w:footnote w:id="8">
    <w:p>
      <w:pPr>
        <w:pStyle w:val="FootnoteText"/>
        <w:spacing w:before="0" w:after="240"/>
        <w:ind w:hanging="720" w:start="720" w:end="0"/>
        <w:jc w:val="both"/>
        <w:rPr/>
      </w:pPr>
      <w:r>
        <w:rPr>
          <w:rStyle w:val="FootnoteCharacters"/>
        </w:rPr>
        <w:footnoteRef/>
      </w:r>
      <w:r>
        <w:rPr/>
        <w:t xml:space="preserve"> </w:t>
      </w:r>
      <w:r>
        <w:rPr/>
        <w:tab/>
      </w:r>
      <w:r>
        <w:rPr>
          <w:i/>
        </w:rPr>
        <w:t xml:space="preserve">Id. </w:t>
      </w:r>
      <w:r>
        <w:rPr/>
        <w:t>at 88-90.</w:t>
      </w:r>
    </w:p>
  </w:footnote>
  <w:footnote w:id="9">
    <w:p>
      <w:pPr>
        <w:pStyle w:val="FootnoteText"/>
        <w:spacing w:before="0" w:after="240"/>
        <w:ind w:hanging="720" w:start="720" w:end="0"/>
        <w:jc w:val="both"/>
        <w:rPr/>
      </w:pPr>
      <w:r>
        <w:rPr>
          <w:rStyle w:val="FootnoteCharacters"/>
        </w:rPr>
        <w:footnoteRef/>
      </w:r>
      <w:r>
        <w:rPr/>
        <w:t xml:space="preserve"> </w:t>
      </w:r>
      <w:r>
        <w:rPr/>
        <w:tab/>
      </w:r>
      <w:r>
        <w:rPr>
          <w:i/>
        </w:rPr>
        <w:t>See</w:t>
      </w:r>
      <w:r>
        <w:rPr/>
        <w:t xml:space="preserve"> F.P.C. v. Southern California Edison Co., 376 U.S. 205 (1964) (explaining the history of the Federal Power Act).  </w:t>
      </w:r>
    </w:p>
  </w:footnote>
  <w:footnote w:id="10">
    <w:p>
      <w:pPr>
        <w:pStyle w:val="FootnoteText"/>
        <w:spacing w:before="0" w:after="240"/>
        <w:ind w:hanging="720" w:start="720" w:end="0"/>
        <w:jc w:val="both"/>
        <w:rPr/>
      </w:pPr>
      <w:r>
        <w:rPr>
          <w:rStyle w:val="FootnoteCharacters"/>
        </w:rPr>
        <w:footnoteRef/>
      </w:r>
      <w:r>
        <w:rPr/>
        <w:t xml:space="preserve"> </w:t>
      </w:r>
      <w:r>
        <w:rPr/>
        <w:tab/>
      </w:r>
      <w:r>
        <w:rPr>
          <w:i/>
        </w:rPr>
        <w:t>Id</w:t>
      </w:r>
      <w:r>
        <w:rPr>
          <w:b/>
          <w:i/>
        </w:rPr>
        <w:t>.</w:t>
      </w:r>
      <w:r>
        <w:rPr/>
        <w:t xml:space="preserve"> at 214-15.</w:t>
      </w:r>
    </w:p>
  </w:footnote>
  <w:footnote w:id="11">
    <w:p>
      <w:pPr>
        <w:pStyle w:val="FootnoteText"/>
        <w:spacing w:before="0" w:after="240"/>
        <w:ind w:hanging="720" w:start="720" w:end="0"/>
        <w:jc w:val="both"/>
        <w:rPr/>
      </w:pPr>
      <w:r>
        <w:rPr>
          <w:rStyle w:val="FootnoteCharacters"/>
        </w:rPr>
        <w:footnoteRef/>
      </w:r>
      <w:r>
        <w:rPr/>
        <w:t xml:space="preserve"> </w:t>
      </w:r>
      <w:r>
        <w:rPr/>
        <w:tab/>
      </w:r>
      <w:r>
        <w:rPr>
          <w:i/>
        </w:rPr>
        <w:t>Id.</w:t>
      </w:r>
      <w:r>
        <w:rPr/>
        <w:t xml:space="preserve">(quoting </w:t>
      </w:r>
      <w:r>
        <w:rPr>
          <w:i/>
        </w:rPr>
        <w:t>Panhandle Eastern Pipeline Co. v. Public Service Comm</w:t>
      </w:r>
      <w:r>
        <w:rPr/>
        <w:t xml:space="preserve">., 332 U.S. 507, 517 (1947)). </w:t>
      </w:r>
      <w:r>
        <w:rPr>
          <w:i/>
        </w:rPr>
        <w:t xml:space="preserve"> </w:t>
      </w:r>
    </w:p>
  </w:footnote>
  <w:footnote w:id="12">
    <w:p>
      <w:pPr>
        <w:pStyle w:val="FootnoteText"/>
        <w:spacing w:before="0" w:after="240"/>
        <w:ind w:hanging="720" w:start="720" w:end="0"/>
        <w:jc w:val="both"/>
        <w:rPr/>
      </w:pPr>
      <w:r>
        <w:rPr>
          <w:rStyle w:val="FootnoteCharacters"/>
        </w:rPr>
        <w:footnoteRef/>
      </w:r>
      <w:r>
        <w:rPr/>
        <w:t xml:space="preserve"> </w:t>
      </w:r>
      <w:r>
        <w:rPr/>
        <w:tab/>
        <w:t xml:space="preserve">16 U.S.C. § 824(b)(1). A “sale of electric energy at wholesale” is statutorily defined as “a sale of electric energy to any person for resale.” </w:t>
      </w:r>
      <w:r>
        <w:rPr>
          <w:i/>
        </w:rPr>
        <w:t>Id.</w:t>
      </w:r>
      <w:r>
        <w:rPr/>
        <w:t xml:space="preserve"> at § 824 (d)</w:t>
      </w:r>
    </w:p>
  </w:footnote>
  <w:footnote w:id="13">
    <w:p>
      <w:pPr>
        <w:pStyle w:val="FootnoteText"/>
        <w:spacing w:before="0" w:after="240"/>
        <w:ind w:hanging="720" w:start="720" w:end="0"/>
        <w:jc w:val="both"/>
        <w:rPr/>
      </w:pPr>
      <w:r>
        <w:rPr>
          <w:rStyle w:val="FootnoteCharacters"/>
        </w:rPr>
        <w:footnoteRef/>
      </w:r>
      <w:r>
        <w:rPr/>
        <w:t xml:space="preserve"> </w:t>
      </w:r>
      <w:r>
        <w:rPr/>
        <w:tab/>
        <w:t>16 U.S.C.  §§ 824, 824d.</w:t>
      </w:r>
    </w:p>
  </w:footnote>
  <w:footnote w:id="14">
    <w:p>
      <w:pPr>
        <w:pStyle w:val="FootnoteText"/>
        <w:spacing w:before="0" w:after="240"/>
        <w:ind w:hanging="720" w:start="720" w:end="0"/>
        <w:jc w:val="both"/>
        <w:rPr/>
      </w:pPr>
      <w:r>
        <w:rPr>
          <w:rStyle w:val="FootnoteCharacters"/>
        </w:rPr>
        <w:footnoteRef/>
      </w:r>
      <w:r>
        <w:rPr/>
        <w:t xml:space="preserve"> </w:t>
      </w:r>
      <w:r>
        <w:rPr/>
        <w:tab/>
      </w:r>
      <w:r>
        <w:rPr>
          <w:i/>
        </w:rPr>
        <w:t>See, e.g.,</w:t>
      </w:r>
      <w:r>
        <w:rPr/>
        <w:t xml:space="preserve"> </w:t>
      </w:r>
      <w:r>
        <w:rPr>
          <w:i/>
        </w:rPr>
        <w:t>Mississippi Power &amp; Light Co. v. Mississippi ex rel. Moore</w:t>
      </w:r>
      <w:r>
        <w:rPr/>
        <w:t xml:space="preserve">, 487 U.S. 354, 371 (1988) (“FERC has exclusive authority to determine the reasonableness of whole sale rates”); </w:t>
      </w:r>
      <w:r>
        <w:rPr>
          <w:i/>
        </w:rPr>
        <w:t>id.</w:t>
      </w:r>
      <w:r>
        <w:rPr/>
        <w:t xml:space="preserve"> at U.S. at 377 (Scalia, J concurring (“if FERC has jurisdiction over a subject, the States cannot have jurisdiction over the same subject”); </w:t>
      </w:r>
      <w:r>
        <w:rPr>
          <w:i/>
        </w:rPr>
        <w:t>Nantahala Power &amp; Light Co. v. Thornburg</w:t>
      </w:r>
      <w:r>
        <w:rPr/>
        <w:t xml:space="preserve">, 476 U.S. 953 (1986)    </w:t>
      </w:r>
    </w:p>
  </w:footnote>
  <w:footnote w:id="15">
    <w:p>
      <w:pPr>
        <w:pStyle w:val="FootnoteText"/>
        <w:spacing w:before="0" w:after="240"/>
        <w:ind w:hanging="720" w:start="720" w:end="0"/>
        <w:jc w:val="both"/>
        <w:rPr/>
      </w:pPr>
      <w:r>
        <w:rPr>
          <w:rStyle w:val="FootnoteCharacters"/>
        </w:rPr>
        <w:footnoteRef/>
      </w:r>
      <w:r>
        <w:rPr/>
        <w:t xml:space="preserve"> </w:t>
      </w:r>
      <w:r>
        <w:rPr/>
        <w:tab/>
        <w:t xml:space="preserve">Decision 95-12-063, as modified by Decision 96-01-009, </w:t>
      </w:r>
      <w:r>
        <w:rPr>
          <w:i/>
        </w:rPr>
        <w:t>mimeo</w:t>
      </w:r>
      <w:r>
        <w:rPr/>
        <w:t>, at p. 61,</w:t>
      </w:r>
    </w:p>
  </w:footnote>
  <w:footnote w:id="16">
    <w:p>
      <w:pPr>
        <w:pStyle w:val="FootnoteText"/>
        <w:spacing w:before="0" w:after="240"/>
        <w:ind w:hanging="720" w:start="720" w:end="0"/>
        <w:jc w:val="both"/>
        <w:rPr/>
      </w:pPr>
      <w:r>
        <w:rPr>
          <w:rStyle w:val="FootnoteCharacters"/>
        </w:rPr>
        <w:footnoteRef/>
      </w:r>
      <w:r>
        <w:rPr/>
        <w:t xml:space="preserve"> </w:t>
      </w:r>
      <w:r>
        <w:rPr/>
        <w:tab/>
        <w:t xml:space="preserve">Pursuant to the provisions of the tariff under which the PX was established, the PX conducted auctions for the purchase and sale of wholesale electric power in the day-ahead and hour-ahead markets.  The auction determined which the buyers and sellers were to sell or purchase through the PX , as well as the price and other terms pursuant to which the transaction was to be made.   </w:t>
      </w:r>
    </w:p>
  </w:footnote>
  <w:footnote w:id="17">
    <w:p>
      <w:pPr>
        <w:pStyle w:val="FootnoteText"/>
        <w:spacing w:before="0" w:after="240"/>
        <w:ind w:hanging="720" w:start="720" w:end="0"/>
        <w:jc w:val="both"/>
        <w:rPr/>
      </w:pPr>
      <w:r>
        <w:rPr>
          <w:rStyle w:val="FootnoteCharacters"/>
        </w:rPr>
        <w:footnoteRef/>
      </w:r>
      <w:r>
        <w:rPr/>
        <w:t xml:space="preserve"> </w:t>
      </w:r>
      <w:r>
        <w:rPr/>
        <w:tab/>
        <w:t xml:space="preserve">Pacific Gas and Electric Co., </w:t>
      </w:r>
      <w:r>
        <w:rPr>
          <w:i/>
        </w:rPr>
        <w:t>et al</w:t>
      </w:r>
      <w:r>
        <w:rPr/>
        <w:t xml:space="preserve">., 77 FERC 61, 204 at 61,804 (emphasis added). </w:t>
      </w:r>
    </w:p>
  </w:footnote>
  <w:footnote w:id="18">
    <w:p>
      <w:pPr>
        <w:pStyle w:val="FootnoteText"/>
        <w:spacing w:before="0" w:after="240"/>
        <w:ind w:hanging="720" w:start="720" w:end="0"/>
        <w:jc w:val="both"/>
        <w:rPr/>
      </w:pPr>
      <w:r>
        <w:rPr>
          <w:rStyle w:val="FootnoteCharacters"/>
        </w:rPr>
        <w:footnoteRef/>
      </w:r>
      <w:r>
        <w:rPr/>
        <w:t xml:space="preserve"> </w:t>
      </w:r>
      <w:r>
        <w:rPr/>
        <w:tab/>
        <w:t xml:space="preserve">Automated Power Exchange, Inc. v. F.E.R.C., 204 F 3d 114 (D.C. Cir. 2000).   </w:t>
      </w:r>
    </w:p>
  </w:footnote>
  <w:footnote w:id="19">
    <w:p>
      <w:pPr>
        <w:pStyle w:val="FootnoteText"/>
        <w:spacing w:before="0" w:after="240"/>
        <w:ind w:hanging="720" w:start="720" w:end="0"/>
        <w:jc w:val="both"/>
        <w:rPr/>
      </w:pPr>
      <w:r>
        <w:rPr>
          <w:rStyle w:val="FootnoteCharacters"/>
        </w:rPr>
        <w:footnoteRef/>
      </w:r>
      <w:r>
        <w:rPr/>
        <w:t xml:space="preserve"> </w:t>
      </w:r>
      <w:r>
        <w:rPr/>
        <w:tab/>
      </w:r>
      <w:r>
        <w:rPr>
          <w:i/>
        </w:rPr>
        <w:t>Id.,</w:t>
      </w:r>
      <w:r>
        <w:rPr/>
        <w:t xml:space="preserve"> at 1151.</w:t>
      </w:r>
    </w:p>
  </w:footnote>
  <w:footnote w:id="20">
    <w:p>
      <w:pPr>
        <w:pStyle w:val="FootnoteText"/>
        <w:spacing w:before="0" w:after="240"/>
        <w:ind w:hanging="720" w:start="720" w:end="0"/>
        <w:jc w:val="both"/>
        <w:rPr/>
      </w:pPr>
      <w:r>
        <w:rPr>
          <w:rStyle w:val="FootnoteCharacters"/>
        </w:rPr>
        <w:footnoteRef/>
      </w:r>
      <w:r>
        <w:rPr/>
        <w:t xml:space="preserve"> </w:t>
      </w:r>
      <w:r>
        <w:rPr/>
        <w:tab/>
      </w:r>
      <w:r>
        <w:rPr>
          <w:i/>
        </w:rPr>
        <w:t>San Diego Gas &amp; Electric Company v. Sellers of Energy and Ancillary Services into Markets Operated by the California Independent System Operator and the California Power Exchange</w:t>
      </w:r>
      <w:r>
        <w:rPr/>
        <w:t xml:space="preserve">, Docket No. EL00-95-00, </w:t>
      </w:r>
      <w:r>
        <w:rPr>
          <w:i/>
        </w:rPr>
        <w:t>et al</w:t>
      </w:r>
      <w:r>
        <w:rPr/>
        <w:t xml:space="preserve">, 92 FERC ¶ 61,172 (2000), </w:t>
      </w:r>
      <w:r>
        <w:rPr>
          <w:i/>
        </w:rPr>
        <w:t>mimeo</w:t>
      </w:r>
      <w:r>
        <w:rPr/>
        <w:t xml:space="preserve">, at 23. </w:t>
      </w:r>
    </w:p>
  </w:footnote>
  <w:footnote w:id="21">
    <w:p>
      <w:pPr>
        <w:pStyle w:val="FootnoteText"/>
        <w:spacing w:before="0" w:after="240"/>
        <w:ind w:hanging="720" w:start="720" w:end="0"/>
        <w:jc w:val="both"/>
        <w:rPr/>
      </w:pPr>
      <w:r>
        <w:rPr>
          <w:rStyle w:val="FootnoteCharacters"/>
        </w:rPr>
        <w:footnoteRef/>
      </w:r>
      <w:r>
        <w:rPr/>
        <w:t xml:space="preserve"> </w:t>
      </w:r>
      <w:r>
        <w:rPr/>
        <w:tab/>
      </w:r>
      <w:r>
        <w:rPr>
          <w:i/>
        </w:rPr>
        <w:t xml:space="preserve">San Diego Gas &amp; Electric Company v. Sellers of Energy and Ancillary Services into Markets Operated by the California Independent System Operator and the California Power Exchange, </w:t>
      </w:r>
      <w:r>
        <w:rPr/>
        <w:t>93 FERC ¶ 61,294 (2000).</w:t>
      </w:r>
    </w:p>
  </w:footnote>
  <w:footnote w:id="22">
    <w:p>
      <w:pPr>
        <w:pStyle w:val="FootnoteText"/>
        <w:spacing w:before="0" w:after="240"/>
        <w:ind w:hanging="720" w:start="720" w:end="0"/>
        <w:jc w:val="both"/>
        <w:rPr/>
      </w:pPr>
      <w:r>
        <w:rPr>
          <w:rStyle w:val="FootnoteCharacters"/>
        </w:rPr>
        <w:footnoteRef/>
      </w:r>
      <w:r>
        <w:rPr/>
        <w:t xml:space="preserve"> </w:t>
      </w:r>
      <w:r>
        <w:rPr/>
        <w:tab/>
      </w:r>
      <w:r>
        <w:rPr>
          <w:i/>
        </w:rPr>
        <w:t>Id</w:t>
      </w:r>
      <w:r>
        <w:rPr/>
        <w:t>., at 61,982-83.</w:t>
      </w:r>
    </w:p>
  </w:footnote>
  <w:footnote w:id="23">
    <w:p>
      <w:pPr>
        <w:pStyle w:val="FootnoteText"/>
        <w:spacing w:before="0" w:after="240"/>
        <w:ind w:hanging="720" w:start="720" w:end="0"/>
        <w:jc w:val="both"/>
        <w:rPr/>
      </w:pPr>
      <w:r>
        <w:rPr>
          <w:rStyle w:val="FootnoteCharacters"/>
        </w:rPr>
        <w:footnoteRef/>
      </w:r>
      <w:r>
        <w:rPr/>
        <w:t xml:space="preserve"> </w:t>
      </w:r>
      <w:r>
        <w:rPr/>
        <w:tab/>
      </w:r>
      <w:r>
        <w:rPr>
          <w:i/>
        </w:rPr>
        <w:t>See</w:t>
      </w:r>
      <w:r>
        <w:rPr/>
        <w:t xml:space="preserve"> Concurrence of Commissioner Massey to December 15 Order, </w:t>
      </w:r>
      <w:r>
        <w:rPr>
          <w:i/>
        </w:rPr>
        <w:t>Id.,</w:t>
      </w:r>
      <w:r>
        <w:rPr/>
        <w:t xml:space="preserve"> at 62,030.</w:t>
      </w:r>
    </w:p>
  </w:footnote>
  <w:footnote w:id="24">
    <w:p>
      <w:pPr>
        <w:pStyle w:val="FootnoteText"/>
        <w:spacing w:before="0" w:after="240"/>
        <w:ind w:hanging="720" w:start="720" w:end="0"/>
        <w:jc w:val="both"/>
        <w:rPr/>
      </w:pPr>
      <w:r>
        <w:rPr>
          <w:rStyle w:val="FootnoteCharacters"/>
        </w:rPr>
        <w:footnoteRef/>
      </w:r>
      <w:r>
        <w:rPr/>
        <w:t xml:space="preserve"> </w:t>
      </w:r>
      <w:r>
        <w:rPr/>
        <w:tab/>
      </w:r>
      <w:r>
        <w:rPr>
          <w:i/>
        </w:rPr>
        <w:t xml:space="preserve">San Diego Gas &amp; Electric Company v. Sellers of Energy and Ancillary Services into Markets Operated by the California Independent System Operator and the California Power Exchange, </w:t>
      </w:r>
      <w:r>
        <w:rPr/>
        <w:t xml:space="preserve">94 FERC ¶ 61,245 (2001) </w:t>
      </w:r>
      <w:r>
        <w:rPr>
          <w:i/>
        </w:rPr>
        <w:t xml:space="preserve">mimeo, </w:t>
      </w:r>
      <w:r>
        <w:rPr/>
        <w:t xml:space="preserve">at 3. </w:t>
      </w:r>
    </w:p>
  </w:footnote>
  <w:footnote w:id="25">
    <w:p>
      <w:pPr>
        <w:pStyle w:val="FootnoteText"/>
        <w:spacing w:before="0" w:after="240"/>
        <w:ind w:hanging="720" w:start="720" w:end="0"/>
        <w:jc w:val="both"/>
        <w:rPr/>
      </w:pPr>
      <w:r>
        <w:rPr>
          <w:rStyle w:val="FootnoteCharacters"/>
        </w:rPr>
        <w:footnoteRef/>
      </w:r>
      <w:r>
        <w:rPr/>
        <w:t xml:space="preserve"> </w:t>
      </w:r>
      <w:r>
        <w:rPr/>
        <w:tab/>
      </w:r>
      <w:r>
        <w:rPr>
          <w:i/>
        </w:rPr>
        <w:t xml:space="preserve">Id., </w:t>
      </w:r>
      <w:r>
        <w:rPr/>
        <w:t xml:space="preserve">Attachment A.   </w:t>
      </w:r>
    </w:p>
  </w:footnote>
  <w:footnote w:id="26">
    <w:p>
      <w:pPr>
        <w:pStyle w:val="FootnoteText"/>
        <w:spacing w:before="0" w:after="240"/>
        <w:ind w:hanging="720" w:start="720" w:end="0"/>
        <w:jc w:val="both"/>
        <w:rPr/>
      </w:pPr>
      <w:r>
        <w:rPr>
          <w:rStyle w:val="FootnoteCharacters"/>
        </w:rPr>
        <w:footnoteRef/>
      </w:r>
      <w:r>
        <w:rPr/>
        <w:t xml:space="preserve"> </w:t>
      </w:r>
      <w:r>
        <w:rPr/>
        <w:tab/>
      </w:r>
      <w:r>
        <w:rPr>
          <w:i/>
        </w:rPr>
        <w:t>See, Montana-Dakota Util. Co. v. Northwestern Public Service Co</w:t>
      </w:r>
      <w:r>
        <w:rPr/>
        <w:t xml:space="preserve">., 3451 U.S. 246, 251 (1951). </w:t>
      </w:r>
    </w:p>
  </w:footnote>
  <w:footnote w:id="27">
    <w:p>
      <w:pPr>
        <w:pStyle w:val="FootnoteText"/>
        <w:spacing w:before="0" w:after="240"/>
        <w:ind w:hanging="720" w:start="720" w:end="0"/>
        <w:jc w:val="both"/>
        <w:rPr/>
      </w:pPr>
      <w:r>
        <w:rPr>
          <w:rStyle w:val="FootnoteCharacters"/>
        </w:rPr>
        <w:footnoteRef/>
      </w:r>
      <w:r>
        <w:rPr/>
        <w:t xml:space="preserve"> </w:t>
      </w:r>
      <w:r>
        <w:rPr/>
        <w:tab/>
        <w:t xml:space="preserve">SCE may assert that the Commission should await FERC’s determination of the just and reasonableness of the wholesale power costs during the applicable periods prior to addressing EES and EEMC’s complaint.  There is no basis for that argument.  The FERC has already determined that it has no authority to order refunds of wholesale power costs for much of the period at issue (FERC cannot order refunds for the period prior to October 2000) and has already made its assessment of market power abuses for another part of the applicable period (January 2001) and found no such abuses by Enron. In short, for the majority of the time to which the complaint applies, the FERC has made its determination as to its authority to modify the rates charged based on whether they were just and reasonable.  There is no need to await further deliberation by the FERC.               </w:t>
      </w:r>
    </w:p>
  </w:footnote>
  <w:footnote w:id="28">
    <w:p>
      <w:pPr>
        <w:pStyle w:val="FootnoteText"/>
        <w:spacing w:before="0" w:after="240"/>
        <w:ind w:hanging="720" w:start="720" w:end="0"/>
        <w:jc w:val="both"/>
        <w:rPr/>
      </w:pPr>
      <w:r>
        <w:rPr>
          <w:rStyle w:val="FootnoteCharacters"/>
        </w:rPr>
        <w:footnoteRef/>
      </w:r>
      <w:r>
        <w:rPr/>
        <w:t xml:space="preserve"> </w:t>
      </w:r>
      <w:r>
        <w:rPr/>
        <w:tab/>
      </w:r>
      <w:r>
        <w:rPr>
          <w:i/>
        </w:rPr>
        <w:t>See</w:t>
      </w:r>
      <w:r>
        <w:rPr/>
        <w:t xml:space="preserve"> Answer and Counter-Complaint, ¶ </w:t>
      </w:r>
    </w:p>
  </w:footnote>
  <w:footnote w:id="29">
    <w:p>
      <w:pPr>
        <w:pStyle w:val="FootnoteText"/>
        <w:spacing w:before="0" w:after="240"/>
        <w:ind w:hanging="720" w:start="720" w:end="0"/>
        <w:jc w:val="both"/>
        <w:rPr/>
      </w:pPr>
      <w:r>
        <w:rPr>
          <w:rStyle w:val="FootnoteCharacters"/>
        </w:rPr>
        <w:footnoteRef/>
      </w:r>
      <w:r>
        <w:rPr/>
        <w:t xml:space="preserve"> </w:t>
      </w:r>
      <w:r>
        <w:rPr/>
        <w:tab/>
        <w:t>Public Utilities Code Section 394.25.</w:t>
      </w:r>
    </w:p>
  </w:footnote>
  <w:footnote w:id="30">
    <w:p>
      <w:pPr>
        <w:pStyle w:val="FootnoteText"/>
        <w:spacing w:before="0" w:after="240"/>
        <w:ind w:hanging="720" w:start="720" w:end="0"/>
        <w:jc w:val="both"/>
        <w:rPr/>
      </w:pPr>
      <w:r>
        <w:rPr>
          <w:rStyle w:val="FootnoteCharacters"/>
        </w:rPr>
        <w:footnoteRef/>
      </w:r>
      <w:r>
        <w:rPr/>
        <w:tab/>
      </w:r>
      <w:r>
        <w:rPr>
          <w:i/>
        </w:rPr>
        <w:t>See</w:t>
      </w:r>
      <w:r>
        <w:rPr/>
        <w:t xml:space="preserve"> Public Utilities Code Sections 2102 through 2105, 2107-2108 and 2114.   </w:t>
      </w:r>
    </w:p>
  </w:footnote>
  <w:footnote w:id="31">
    <w:p>
      <w:pPr>
        <w:pStyle w:val="FootnoteText"/>
        <w:spacing w:before="0" w:after="240"/>
        <w:ind w:hanging="720" w:start="720" w:end="0"/>
        <w:jc w:val="both"/>
        <w:rPr/>
      </w:pPr>
      <w:r>
        <w:rPr>
          <w:rStyle w:val="FootnoteCharacters"/>
        </w:rPr>
        <w:footnoteRef/>
      </w:r>
      <w:r>
        <w:rPr/>
        <w:t xml:space="preserve"> </w:t>
      </w:r>
      <w:r>
        <w:rPr/>
        <w:tab/>
        <w:t>Southern California Edison Company Energy Service Provider Agreement, Section 15.2</w:t>
      </w:r>
    </w:p>
  </w:footnote>
  <w:footnote w:id="32">
    <w:p>
      <w:pPr>
        <w:pStyle w:val="FootnoteText"/>
        <w:spacing w:before="0" w:after="240"/>
        <w:ind w:hanging="720" w:start="720" w:end="0"/>
        <w:jc w:val="both"/>
        <w:rPr/>
      </w:pPr>
      <w:r>
        <w:rPr>
          <w:rStyle w:val="FootnoteCharacters"/>
        </w:rPr>
        <w:footnoteRef/>
      </w:r>
      <w:r>
        <w:rPr/>
        <w:t xml:space="preserve"> </w:t>
      </w:r>
      <w:r>
        <w:rPr/>
        <w:tab/>
      </w:r>
      <w:r>
        <w:rPr>
          <w:i/>
        </w:rPr>
        <w:t>Id</w:t>
      </w:r>
      <w:r>
        <w:rPr/>
        <w:t>., Section 15.1.</w:t>
      </w:r>
    </w:p>
  </w:footnote>
  <w:footnote w:id="33">
    <w:p>
      <w:pPr>
        <w:pStyle w:val="FootnoteText"/>
        <w:spacing w:before="0" w:after="240"/>
        <w:ind w:hanging="720" w:start="720" w:end="0"/>
        <w:jc w:val="both"/>
        <w:rPr/>
      </w:pPr>
      <w:r>
        <w:rPr>
          <w:rStyle w:val="FootnoteCharacters"/>
        </w:rPr>
        <w:footnoteRef/>
      </w:r>
      <w:r>
        <w:rPr/>
        <w:t xml:space="preserve"> </w:t>
      </w:r>
      <w:r>
        <w:rPr/>
        <w:tab/>
      </w:r>
      <w:r>
        <w:rPr>
          <w:b/>
        </w:rPr>
        <w:t>[need cite references]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bWasHeadingSet" w:val="False"/>
    <w:docVar w:name="iTrailerType" w:val="1"/>
    <w:docVar w:name="zzmpFixed_MacPacVersion" w:val="97"/>
    <w:docVar w:name="zzmpFixedDOC_ID" w:val="2704/009/X22427-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before="0" w:after="240"/>
      <w:ind w:hanging="720" w:start="720" w:end="0"/>
      <w:jc w:val="both"/>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2001-03-14T19:45:00Z</dcterms:created>
  <dc:creator>JMB</dc:creator>
  <dc:description/>
  <dc:language>en-CA</dc:language>
  <cp:lastModifiedBy>JMB</cp:lastModifiedBy>
  <cp:lastPrinted>2001-03-14T11:40:00Z</cp:lastPrinted>
  <dcterms:modified xsi:type="dcterms:W3CDTF">2001-03-14T19:45:00Z</dcterms:modified>
  <cp:revision>2</cp:revision>
  <dc:subject/>
  <dc:title/>
</cp:coreProperties>
</file>