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COMMENTS OF </w:t>
      </w:r>
    </w:p>
    <w:p>
      <w:pPr>
        <w:pStyle w:val="Normal"/>
        <w:jc w:val="center"/>
        <w:rPr>
          <w:b/>
        </w:rPr>
      </w:pPr>
      <w:r>
        <w:rPr>
          <w:b/>
        </w:rPr>
        <w:t>ENRON POWER MARKETING INC.</w:t>
      </w:r>
    </w:p>
    <w:p>
      <w:pPr>
        <w:pStyle w:val="Normal"/>
        <w:jc w:val="center"/>
        <w:rPr>
          <w:b/>
        </w:rPr>
      </w:pPr>
      <w:r>
        <w:rPr>
          <w:b/>
        </w:rPr>
        <w:t xml:space="preserve">ON ALTERNATE DRAFT ORDER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March 2,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Power Marketing,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POWER MARKETING INC.</w:t>
      </w:r>
    </w:p>
    <w:p>
      <w:pPr>
        <w:pStyle w:val="Normal"/>
        <w:jc w:val="center"/>
        <w:rPr>
          <w:b/>
        </w:rPr>
      </w:pPr>
      <w:r>
        <w:rPr>
          <w:b/>
        </w:rPr>
        <w:t>ON ALTERNATE DRAFT ORDER</w:t>
      </w:r>
    </w:p>
    <w:p>
      <w:pPr>
        <w:pStyle w:val="Normal"/>
        <w:jc w:val="center"/>
        <w:rPr>
          <w:b/>
        </w:rPr>
      </w:pPr>
      <w:r>
        <w:rPr>
          <w:b/>
        </w:rPr>
      </w:r>
    </w:p>
    <w:p>
      <w:pPr>
        <w:pStyle w:val="Normal"/>
        <w:spacing w:lineRule="auto" w:line="480"/>
        <w:jc w:val="both"/>
        <w:rPr/>
      </w:pPr>
      <w:r>
        <w:rPr/>
        <w:tab/>
        <w:t xml:space="preserve">In accord with the schedule set forth in the February 23, 2001 letter of Chief Administrative Law Judge Lynn Carew, Enron Power Marketing Inc. (“EPMI”) comments in favor of the February 23, 2001 Alternate Draft Order of Commissioner Bilas in the above captioned proceeding (“Bilas Draft”).  The Bilas Draft was issued as an alternate to the February 20, 2001 Draft Order of Administrative Law Judge DeUlloa (“ALJ Draft”).  The Draft Orders use varying approaches to respond to the February 16, 2001 request of the California Department of Water Resources (“DWR”) to provide assurances that “will induce sellers of power to enter into Power Purchase Contracts on favorable terms to the state and to provide assurance to prospective lenders to [DWR] as to the ability of [DWR] to recover its revenue requirement.” EPMI submits that, upon review of the specific requests made by DWR, the approach taken by the Bilas Draft effects a more appropriate resolution of the matters presented.     </w:t>
      </w:r>
    </w:p>
    <w:p>
      <w:pPr>
        <w:pStyle w:val="Normal"/>
        <w:spacing w:lineRule="auto" w:line="480"/>
        <w:jc w:val="both"/>
        <w:rPr/>
      </w:pPr>
      <w:r>
        <w:rPr/>
        <w:tab/>
        <w:t>Specifically, DWR has requested that the Commission (1) confirm that power purchases made by DWR will not be made subject to reasonableness reviews by the Commission; (2) confirm that charges for power delivered to retail end use customers will provide sufficient revenues, together with other monies available from the Electric Power Fund, to meet DWR’s entire revenue requirement; (3) establish an interim method of allocating current generation charges paid by end use customers; and (4) direct the UDCs to enter into certain agreements with DWR for the distribution, billing of, and payment for power.  EPMI submits that the Bilas Draft addresses the first three of these requests in a manner that is most advantageous to DWR and entities with which it will enter into power purchase contracts.  While the Draft does not address the fourth request, as illustrated below, this request by DWR is premature.</w:t>
      </w:r>
    </w:p>
    <w:p>
      <w:pPr>
        <w:pStyle w:val="Normal"/>
        <w:spacing w:lineRule="auto" w:line="480"/>
        <w:jc w:val="both"/>
        <w:rPr/>
      </w:pPr>
      <w:r>
        <w:rPr/>
        <w:tab/>
        <w:t xml:space="preserve"> The Bilas Draft and the ALJ Draft address DWR’s first two requests in a similar manner. The Draft Orders acknowledge that the contracts for purchases of power by DWR are </w:t>
      </w:r>
      <w:r>
        <w:rPr>
          <w:i/>
        </w:rPr>
        <w:t>per se</w:t>
      </w:r>
      <w:r>
        <w:rPr/>
        <w:t xml:space="preserve"> reasonable and will not be subject to reasonableness reviews by the Commission.  Moreover, both Draft Orders acknowledge, consistent with newly enacted Section 80134(b) of the Water Code, that after DWR notification of the Commission of its needed revenue requirement, the Commission is obligated to ensure its receipt.  In this respect the Draft Orders acknowledge that the Commission’s agreement to ensure the revenue requirement of DWR will have the force and effect of a financing order adopted in compliance with the applicable provisions of the Public Utilities Code. With these acknowledgements, DWR is given the assurance that its power purchases will not be second-guessed and that it will receive a revenue stream sufficient to cover its costs.   These Commission assurances are critical to the creation of a financially viable power purchasing entity in the state of California.</w:t>
      </w:r>
    </w:p>
    <w:p>
      <w:pPr>
        <w:pStyle w:val="Normal"/>
        <w:spacing w:lineRule="auto" w:line="480"/>
        <w:jc w:val="both"/>
        <w:rPr/>
      </w:pPr>
      <w:r>
        <w:rPr/>
        <w:tab/>
        <w:t xml:space="preserve">Where the Bilas Draft differs from the ALJ Draft is with respect to DWR’s last two requests.  The Bilas Draft does not implement an interim California Procurement Adjustment, the mechanism created under newly enacted Section 360.5 of the Public Utilities Code to flow excess generation revenues from the UDCs to DWR.  While the ALJ Draft would proceed to implement such a mechanism, the Bilas Draft recognizes that the development and implementation of the CPA has been undertaken and, under the current procedural ruling, the Commission is scheduled to issue an order implementing the CPA mechanism on March 27, 2001.  Proceeding, at this juncture, to implement an interim CPA mechanism, as proposed by the ALJ Draft – a mechanism which will only be effective until the end of March -- will not give potential sellers of power to DWR any additional assurance that DWR is a viable contracting agency.  It will only serve to add additional and unnecessary uncertainties and complications to an already uncertain and complicated market. </w:t>
      </w:r>
    </w:p>
    <w:p>
      <w:pPr>
        <w:pStyle w:val="Normal"/>
        <w:spacing w:lineRule="auto" w:line="480"/>
        <w:jc w:val="both"/>
        <w:rPr/>
      </w:pPr>
      <w:r>
        <w:rPr/>
        <w:tab/>
        <w:t>Finally, while the Bilas Draft does not address DWR’s request to direct the UDCs to enter into various contracts with DWR for the distribution of and billing for power, such an order by the Commission is premature.  Newly enacted Section 80106(a) of the Water Code provides for DWR to contract with the UDCs “to transmit or provide for the transmission, distribute the power and provide billing, collection and other related services as agents of  [DWR].”  Subsection (b) of that provision allows for DWR to request the Commission to direct the UDCs to enter into such contracts.  It is implied by the statute, that an order from the Commission on this issue would only be necessary if DWR encountered problems in contracting with the UDCs on these matters.  There is no indication that such problems have been encountered.</w:t>
      </w:r>
      <w:r>
        <w:rPr>
          <w:rStyle w:val="FootnoteCharacters"/>
          <w:rStyle w:val="FootnoteReference"/>
        </w:rPr>
        <w:footnoteReference w:id="2"/>
      </w:r>
      <w:r>
        <w:rPr/>
        <w:t xml:space="preserve"> </w:t>
      </w:r>
    </w:p>
    <w:p>
      <w:pPr>
        <w:pStyle w:val="Normal"/>
        <w:spacing w:lineRule="auto" w:line="480"/>
        <w:jc w:val="both"/>
        <w:rPr/>
      </w:pPr>
      <w:r>
        <w:rPr/>
        <w:tab/>
        <w:t>For the reasons stated above, the Commission should adopt the Bilas Draft.  The Draft provides DWR with the assurances it needs on a guaranteed revenue stream to meet its revenue</w:t>
      </w:r>
      <w:r>
        <w:br w:type="page"/>
      </w:r>
    </w:p>
    <w:p>
      <w:pPr>
        <w:pStyle w:val="Normal"/>
        <w:spacing w:lineRule="auto" w:line="480"/>
        <w:jc w:val="both"/>
        <w:rPr/>
      </w:pPr>
      <w:r>
        <w:rPr/>
        <w:t xml:space="preserve">requirement without taking the unnecessary step of “jumping the gun” and implementing an interim CPA prior to the conclusion of ongoing Commission proceedings directed toward that very goal.      </w:t>
      </w:r>
    </w:p>
    <w:p>
      <w:pPr>
        <w:pStyle w:val="Normal"/>
        <w:spacing w:lineRule="auto" w:line="480"/>
        <w:ind w:firstLine="720" w:start="3600" w:end="0"/>
        <w:jc w:val="both"/>
        <w:rPr/>
      </w:pPr>
      <w:r>
        <w:rPr/>
      </w:r>
    </w:p>
    <w:p>
      <w:pPr>
        <w:pStyle w:val="Normal"/>
        <w:spacing w:lineRule="auto" w:line="480"/>
        <w:ind w:firstLine="720" w:start="3600" w:end="0"/>
        <w:jc w:val="both"/>
        <w:rPr/>
      </w:pP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Power Marketing,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March 2, 2001</w: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t xml:space="preserve">  </w:t>
      </w:r>
    </w:p>
    <w:p>
      <w:pPr>
        <w:pStyle w:val="Normal"/>
        <w:spacing w:lineRule="exact" w:line="200" w:before="240" w:after="0"/>
        <w:rPr/>
      </w:pPr>
      <w:r>
        <w:rPr>
          <w:rStyle w:val="zzmpTrailerItem"/>
        </w:rPr>
        <w:t>2704/148/X22350-1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t xml:space="preserve"> </w:t>
      </w:r>
      <w:r>
        <w:rPr/>
        <w:tab/>
        <w:t>See Comments of Pacific Gas and Electric Company on Draft Decision of ALJ Deulloa,” A. 00-11-038, et al (February 21, 2001), at pp. 8-9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8/X2235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2001-03-01T23:04:00Z</dcterms:created>
  <dc:creator>JMB</dc:creator>
  <dc:description/>
  <dc:language>en-CA</dc:language>
  <cp:lastModifiedBy>JMB</cp:lastModifiedBy>
  <dcterms:modified xsi:type="dcterms:W3CDTF">2001-03-01T23:04:00Z</dcterms:modified>
  <cp:revision>2</cp:revision>
  <dc:subject/>
  <dc:title>BEFORE THE PUBLIC UTILITIES COMMISSION</dc:title>
</cp:coreProperties>
</file>