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center"/>
        <w:rPr>
          <w:rFonts w:ascii="Arial" w:hAnsi="Arial" w:cs="Arial"/>
          <w:b/>
          <w:caps/>
          <w:spacing w:val="60"/>
          <w:sz w:val="26"/>
        </w:rPr>
      </w:pPr>
      <w:r>
        <w:rPr>
          <w:rFonts w:cs="Arial" w:ascii="Arial" w:hAnsi="Arial"/>
          <w:b/>
          <w:caps/>
          <w:spacing w:val="60"/>
          <w:sz w:val="26"/>
        </w:rPr>
        <w:t>Memorandum</w:t>
      </w:r>
    </w:p>
    <w:p>
      <w:pPr>
        <w:pStyle w:val="DeliveryPhrase"/>
        <w:rPr>
          <w:rFonts w:ascii="Arial" w:hAnsi="Arial" w:cs="Arial"/>
          <w:b w:val="false"/>
          <w:caps w:val="false"/>
          <w:smallCaps w:val="false"/>
          <w:spacing w:val="60"/>
          <w:sz w:val="26"/>
        </w:rPr>
      </w:pPr>
      <w:r>
        <w:rPr>
          <w:rFonts w:cs="Arial" w:ascii="Arial" w:hAnsi="Arial"/>
          <w:b w:val="false"/>
          <w:caps w:val="false"/>
          <w:smallCaps w:val="false"/>
          <w:spacing w:val="60"/>
          <w:sz w:val="26"/>
        </w:rPr>
      </w:r>
    </w:p>
    <w:tbl>
      <w:tblPr>
        <w:tblW w:w="9576" w:type="dxa"/>
        <w:jc w:val="start"/>
        <w:tblInd w:w="0" w:type="dxa"/>
        <w:tblLayout w:type="fixed"/>
        <w:tblCellMar>
          <w:top w:w="0" w:type="dxa"/>
          <w:start w:w="0" w:type="dxa"/>
          <w:bottom w:w="0" w:type="dxa"/>
          <w:end w:w="0" w:type="dxa"/>
        </w:tblCellMar>
      </w:tblPr>
      <w:tblGrid>
        <w:gridCol w:w="1440"/>
        <w:gridCol w:w="8136"/>
      </w:tblGrid>
      <w:tr>
        <w:trPr/>
        <w:tc>
          <w:tcPr>
            <w:tcW w:w="1440" w:type="dxa"/>
            <w:tcBorders/>
          </w:tcPr>
          <w:p>
            <w:pPr>
              <w:pStyle w:val="MemoHeading"/>
              <w:spacing w:before="0" w:after="180"/>
              <w:rPr>
                <w:sz w:val="22"/>
              </w:rPr>
            </w:pPr>
            <w:r>
              <w:rPr>
                <w:sz w:val="22"/>
              </w:rPr>
              <w:t>TO:</w:t>
            </w:r>
          </w:p>
        </w:tc>
        <w:tc>
          <w:tcPr>
            <w:tcW w:w="8136" w:type="dxa"/>
            <w:tcBorders/>
          </w:tcPr>
          <w:p>
            <w:pPr>
              <w:pStyle w:val="Normal"/>
              <w:spacing w:before="0" w:after="180"/>
              <w:ind w:end="216"/>
              <w:rPr/>
            </w:pPr>
            <w:r>
              <w:rPr/>
              <w:t>Sue Mara, Enron</w:t>
            </w:r>
          </w:p>
        </w:tc>
      </w:tr>
      <w:tr>
        <w:trPr/>
        <w:tc>
          <w:tcPr>
            <w:tcW w:w="1440" w:type="dxa"/>
            <w:tcBorders/>
          </w:tcPr>
          <w:p>
            <w:pPr>
              <w:pStyle w:val="MemoHeading"/>
              <w:spacing w:before="0" w:after="180"/>
              <w:rPr>
                <w:sz w:val="22"/>
              </w:rPr>
            </w:pPr>
            <w:r>
              <w:rPr>
                <w:sz w:val="22"/>
              </w:rPr>
              <w:t>FROM:</w:t>
            </w:r>
          </w:p>
        </w:tc>
        <w:tc>
          <w:tcPr>
            <w:tcW w:w="8136" w:type="dxa"/>
            <w:tcBorders/>
          </w:tcPr>
          <w:p>
            <w:pPr>
              <w:pStyle w:val="Normal"/>
              <w:spacing w:before="0" w:after="180"/>
              <w:ind w:end="216"/>
              <w:rPr/>
            </w:pPr>
            <w:r>
              <w:rPr/>
              <w:t>Alexandra M. Ozols</w:t>
            </w:r>
          </w:p>
        </w:tc>
      </w:tr>
      <w:tr>
        <w:trPr/>
        <w:tc>
          <w:tcPr>
            <w:tcW w:w="1440" w:type="dxa"/>
            <w:tcBorders/>
          </w:tcPr>
          <w:p>
            <w:pPr>
              <w:pStyle w:val="MemoHeading"/>
              <w:spacing w:before="0" w:after="180"/>
              <w:rPr>
                <w:sz w:val="22"/>
              </w:rPr>
            </w:pPr>
            <w:r>
              <w:rPr>
                <w:sz w:val="22"/>
              </w:rPr>
              <w:t>DATE:</w:t>
            </w:r>
          </w:p>
        </w:tc>
        <w:tc>
          <w:tcPr>
            <w:tcW w:w="8136" w:type="dxa"/>
            <w:tcBorders/>
          </w:tcPr>
          <w:p>
            <w:pPr>
              <w:pStyle w:val="Normal"/>
              <w:spacing w:before="0" w:after="180"/>
              <w:ind w:end="216"/>
              <w:rPr/>
            </w:pPr>
            <w:r>
              <w:rPr/>
              <w:fldChar w:fldCharType="begin"/>
            </w:r>
            <w:r>
              <w:rPr/>
              <w:instrText xml:space="preserve"> DATE \@"MMMM\ d', 'yyyy" </w:instrText>
            </w:r>
            <w:r>
              <w:rPr/>
              <w:fldChar w:fldCharType="separate"/>
            </w:r>
            <w:r>
              <w:rPr/>
              <w:t>September 28, 2025</w:t>
            </w:r>
            <w:r>
              <w:rPr/>
              <w:fldChar w:fldCharType="end"/>
            </w:r>
          </w:p>
        </w:tc>
      </w:tr>
      <w:tr>
        <w:trPr/>
        <w:tc>
          <w:tcPr>
            <w:tcW w:w="1440" w:type="dxa"/>
            <w:tcBorders/>
          </w:tcPr>
          <w:p>
            <w:pPr>
              <w:pStyle w:val="MemoHeading"/>
              <w:spacing w:before="0" w:after="180"/>
              <w:rPr>
                <w:sz w:val="22"/>
              </w:rPr>
            </w:pPr>
            <w:r>
              <w:rPr>
                <w:sz w:val="22"/>
              </w:rPr>
              <w:t>SUBJECT:</w:t>
            </w:r>
          </w:p>
        </w:tc>
        <w:tc>
          <w:tcPr>
            <w:tcW w:w="8136" w:type="dxa"/>
            <w:tcBorders/>
          </w:tcPr>
          <w:p>
            <w:pPr>
              <w:pStyle w:val="Normal"/>
              <w:spacing w:before="0" w:after="120"/>
              <w:ind w:end="216"/>
              <w:rPr/>
            </w:pPr>
            <w:r>
              <w:rPr/>
              <w:t>State of California Proposed Purchase of Transmission Facilities (Under the Operational Control of the ISO as of 1/1/01)</w:t>
            </w:r>
          </w:p>
        </w:tc>
      </w:tr>
      <w:tr>
        <w:trPr/>
        <w:tc>
          <w:tcPr>
            <w:tcW w:w="9576" w:type="dxa"/>
            <w:gridSpan w:val="2"/>
            <w:tcBorders>
              <w:top w:val="single" w:sz="6" w:space="0" w:color="000000"/>
            </w:tcBorders>
            <w:tcMar>
              <w:start w:w="108" w:type="dxa"/>
              <w:end w:w="108" w:type="dxa"/>
            </w:tcMar>
          </w:tcPr>
          <w:p>
            <w:pPr>
              <w:pStyle w:val="Normal"/>
              <w:snapToGrid w:val="false"/>
              <w:rPr/>
            </w:pPr>
            <w:r>
              <w:rPr/>
            </w:r>
          </w:p>
        </w:tc>
      </w:tr>
    </w:tbl>
    <w:p>
      <w:pPr>
        <w:pStyle w:val="Normal"/>
        <w:rPr/>
      </w:pPr>
      <w:r>
        <w:rPr/>
      </w:r>
    </w:p>
    <w:p>
      <w:pPr>
        <w:pStyle w:val="Normal"/>
        <w:rPr/>
      </w:pPr>
      <w:r>
        <w:rPr/>
      </w:r>
    </w:p>
    <w:p>
      <w:pPr>
        <w:pStyle w:val="Normal"/>
        <w:spacing w:lineRule="auto" w:line="480"/>
        <w:ind w:firstLine="720" w:end="0"/>
        <w:rPr/>
      </w:pPr>
      <w:r>
        <w:rPr/>
        <w:t xml:space="preserve">Here is a quick overview of the issues.  Senate Bill SBX 33 (as amended 2/16/01) proposes to add Section 330.5 to the Public Utilities Code.  The bill if enacted would require the governor to formulate a plan to purchase the transmission facilities of the electrical corporations whose transmission facilities are under the operation and control of the ISO as of 1/1/01 which total about 75% of California’s transmission facilities.  These facilities are owned by Pacific Gas &amp; Electric, San Diego Gas and Electric, and Southern California Edison.  The bill does not propose to purchase the remaining 25% of California’s transmission facilities, which are owned and maintained by local publicly-owned utilities, such as the LA Dept. of Water and Power and the Sacramento Municipal Utility District.  The bill would also require the governor’s plan to address necessary implementing legislation such as bonds to purchase, improve and expand the transmission facilities. </w:t>
      </w:r>
    </w:p>
    <w:p>
      <w:pPr>
        <w:pStyle w:val="Normal"/>
        <w:spacing w:lineRule="auto" w:line="480"/>
        <w:ind w:firstLine="720" w:end="0"/>
        <w:rPr/>
      </w:pPr>
      <w:r>
        <w:rPr/>
        <w:t xml:space="preserve">SBX 12 would institute the creation of the California Natural Gas Pipeline and Electric Transmission Board and would require the State Department of Water Resources to plan, construct and operate electric transmission lines.  </w:t>
      </w:r>
    </w:p>
    <w:p>
      <w:pPr>
        <w:pStyle w:val="Normal"/>
        <w:spacing w:lineRule="auto" w:line="480"/>
        <w:ind w:firstLine="720" w:end="0"/>
        <w:rPr>
          <w:b/>
          <w:sz w:val="28"/>
        </w:rPr>
      </w:pPr>
      <w:r>
        <w:rPr>
          <w:b/>
          <w:sz w:val="28"/>
        </w:rPr>
      </w:r>
    </w:p>
    <w:p>
      <w:pPr>
        <w:pStyle w:val="Normal"/>
        <w:spacing w:lineRule="auto" w:line="480"/>
        <w:ind w:firstLine="720" w:end="0"/>
        <w:rPr>
          <w:b/>
          <w:sz w:val="28"/>
        </w:rPr>
      </w:pPr>
      <w:r>
        <w:rPr>
          <w:b/>
          <w:sz w:val="28"/>
        </w:rPr>
      </w:r>
    </w:p>
    <w:p>
      <w:pPr>
        <w:pStyle w:val="Normal"/>
        <w:spacing w:lineRule="auto" w:line="480"/>
        <w:ind w:firstLine="720" w:end="0"/>
        <w:rPr>
          <w:b/>
          <w:sz w:val="28"/>
        </w:rPr>
      </w:pPr>
      <w:r>
        <w:rPr>
          <w:b/>
          <w:sz w:val="28"/>
        </w:rPr>
        <w:t xml:space="preserve">1. </w:t>
        <w:tab/>
        <w:t>CPUC Approval</w:t>
      </w:r>
    </w:p>
    <w:p>
      <w:pPr>
        <w:pStyle w:val="Normal"/>
        <w:spacing w:lineRule="auto" w:line="480"/>
        <w:ind w:firstLine="720" w:end="0"/>
        <w:rPr/>
      </w:pPr>
      <w:r>
        <w:rPr/>
        <w:t>PU Code Section 851 requires Commission pre-approval of a change in ownership interest of public utility property that is necessary and useful to the utility.  Obviously the necessary and useful definition would include transmission facilities.  But SBX 33 refers to enabling legislation.  The Legislature would most likely enact enabling legislation to purchase the transmission facilities w/o going through the PU Code Section 851 application process.  We could outline the Section 851 process in more detail, but it seems unlikely that the state would employ this lengthy process when it could enact enabling legislation to circumvent the Commission’s jurisdiction to approve the sale.</w:t>
      </w:r>
    </w:p>
    <w:p>
      <w:pPr>
        <w:pStyle w:val="Normal"/>
        <w:spacing w:lineRule="auto" w:line="480"/>
        <w:ind w:firstLine="720" w:end="0"/>
        <w:rPr/>
      </w:pPr>
      <w:r>
        <w:rPr/>
        <w:t>SBX 33 proposes to add Section 330.5 to the PU Code.  Existing PU Code 330 pertains to the restructuring of California’s electricity industry and the creation of the ISO.</w:t>
      </w:r>
    </w:p>
    <w:p>
      <w:pPr>
        <w:pStyle w:val="Normal"/>
        <w:spacing w:lineRule="auto" w:line="480"/>
        <w:ind w:firstLine="720" w:end="0"/>
        <w:rPr>
          <w:b/>
          <w:sz w:val="28"/>
        </w:rPr>
      </w:pPr>
      <w:r>
        <w:rPr>
          <w:b/>
          <w:sz w:val="28"/>
        </w:rPr>
      </w:r>
    </w:p>
    <w:p>
      <w:pPr>
        <w:pStyle w:val="Normal"/>
        <w:spacing w:lineRule="auto" w:line="480"/>
        <w:ind w:firstLine="720" w:end="0"/>
        <w:rPr>
          <w:b/>
          <w:sz w:val="28"/>
        </w:rPr>
      </w:pPr>
      <w:r>
        <w:rPr>
          <w:b/>
          <w:sz w:val="28"/>
        </w:rPr>
        <w:t>2.</w:t>
        <w:tab/>
        <w:t>CEQA</w:t>
      </w:r>
    </w:p>
    <w:p>
      <w:pPr>
        <w:pStyle w:val="Normal"/>
        <w:spacing w:lineRule="auto" w:line="480"/>
        <w:ind w:firstLine="720" w:end="0"/>
        <w:rPr/>
      </w:pPr>
      <w:r>
        <w:rPr/>
        <w:t xml:space="preserve">If the state proposes to enlarge and improve existing transmission lines in California, it may need to satisfy the requirements of the California Environmental Quality Act (“CEQA”).  The applicability of CEQA to this proposed transaction is not clear.  We will need to further research whether CEQA applies to the envisioned sales, renovations and expansions.  If CEQA does apply it seems likely the state will enact legislation to circumvent the lengthy CEQA process. </w:t>
      </w:r>
    </w:p>
    <w:p>
      <w:pPr>
        <w:pStyle w:val="Normal"/>
        <w:spacing w:lineRule="auto" w:line="480"/>
        <w:ind w:firstLine="720" w:end="0"/>
        <w:rPr/>
      </w:pPr>
      <w:r>
        <w:rPr/>
        <w:t>CEQA requires that lead agency, in this circumstance probably the California Public Utilities Commission, to prepare or have prepared an environmental impact report on a project that it proposes to carry out or approve that may have a significant effect on the environment, or to adopt a negative declaration if it finds the project will not have that effect.  Current state legislation concerning the transmission path, Path 15 can provide clues to how the state will handle other transmission new construction.  SBX 40 supports the construction of additional transmission lines parallel to Path 15.  ABX 65 would exempt any project associated with these parallel transmission lines from any CEQA requirements.  ABX 65 exempts from CEQA “any project primarily involving the planning, funding, design, site acquisition, construction, operation or maintenance of new and replacement facilities or structures” associated with Path 15.  It is likely that the State would enact similar legislation for any other transmission facilities acquisitions, construction, maintenance or operations.</w:t>
      </w:r>
    </w:p>
    <w:p>
      <w:pPr>
        <w:pStyle w:val="Normal"/>
        <w:spacing w:lineRule="auto" w:line="480"/>
        <w:ind w:firstLine="720" w:end="0"/>
        <w:rPr/>
      </w:pPr>
      <w:r>
        <w:rPr/>
      </w:r>
    </w:p>
    <w:p>
      <w:pPr>
        <w:pStyle w:val="Normal"/>
        <w:spacing w:lineRule="auto" w:line="480"/>
        <w:ind w:firstLine="720" w:end="0"/>
        <w:rPr>
          <w:b/>
          <w:sz w:val="28"/>
        </w:rPr>
      </w:pPr>
      <w:r>
        <w:rPr>
          <w:b/>
          <w:sz w:val="28"/>
        </w:rPr>
        <w:t>3.</w:t>
        <w:tab/>
        <w:t>Eminent Domain</w:t>
      </w:r>
    </w:p>
    <w:p>
      <w:pPr>
        <w:pStyle w:val="Normal"/>
        <w:spacing w:lineRule="auto" w:line="480"/>
        <w:ind w:firstLine="720" w:end="0"/>
        <w:rPr/>
      </w:pPr>
      <w:r>
        <w:rPr/>
        <w:tab/>
        <w:t xml:space="preserve">The legislature’s intent to improve and enlarge the transmission facilities implicates eminent domain law.  Eminent domain law requires that the CPUC issue a ruling that a proposed taking by eminent domain is in the interest of public convenience and necessity.  State law already finds that when public utility property is appropriated by a public entity, the public entity’s use is “more necessary” than the private entity’s.  Current state law also finds that when the existing use of the property at issue is for an electric, gas, or water public utility’s purposes, the “more necessary” use is a rebuttable presumption.  </w:t>
      </w:r>
    </w:p>
    <w:p>
      <w:pPr>
        <w:pStyle w:val="Normal"/>
        <w:spacing w:lineRule="auto" w:line="480"/>
        <w:ind w:firstLine="720" w:end="0"/>
        <w:rPr/>
      </w:pPr>
      <w:r>
        <w:rPr/>
        <w:t xml:space="preserve">The legislature has attempted to streamline public entity’s abilities to obtain property with ABX 61.  ABX 61 seeks to amend Section 1240.065 of the Code of Civil Procedure.  Under existing eminent domain law, a public entity seeking to acquire electric public utility property has a rebuttable presumption that the land is necessary, which can be rebutted by the opposing party in the condemnation proceeding.  ABX 61 would amend CCP Section 1240.065 to delete the rebuttable presumption hurdle for public entity’s seeking to purchase electric utility property.  </w:t>
      </w:r>
    </w:p>
    <w:p>
      <w:pPr>
        <w:pStyle w:val="Normal"/>
        <w:spacing w:lineRule="auto" w:line="480"/>
        <w:ind w:firstLine="720" w:end="0"/>
        <w:rPr/>
      </w:pPr>
      <w:r>
        <w:rPr/>
        <w:t>ABX 47 seeks to amend CCP Section 1240.065 in a similar manner.  It also would delete the applicability of the rebuttable presumption provision where the property to be appropriated is for electric utility use.</w:t>
      </w:r>
    </w:p>
    <w:p>
      <w:pPr>
        <w:pStyle w:val="Normal"/>
        <w:spacing w:lineRule="auto" w:line="480"/>
        <w:ind w:firstLine="720" w:end="0"/>
        <w:rPr/>
      </w:pPr>
      <w:r>
        <w:rPr/>
        <w:t xml:space="preserve">Eminent domain law remains a significant issue, which could be a problem for the state.  However the legislature seems determined to craft solutions to streamline the acquisition and renovation of transmission facilities.  </w:t>
      </w:r>
    </w:p>
    <w:p>
      <w:pPr>
        <w:pStyle w:val="Normal"/>
        <w:spacing w:lineRule="auto" w:line="480"/>
        <w:ind w:firstLine="720" w:end="0"/>
        <w:rPr>
          <w:b/>
          <w:sz w:val="28"/>
        </w:rPr>
      </w:pPr>
      <w:r>
        <w:rPr>
          <w:b/>
          <w:sz w:val="28"/>
        </w:rPr>
      </w:r>
    </w:p>
    <w:p>
      <w:pPr>
        <w:pStyle w:val="Normal"/>
        <w:spacing w:lineRule="auto" w:line="480"/>
        <w:ind w:firstLine="720" w:end="0"/>
        <w:rPr>
          <w:b/>
          <w:sz w:val="28"/>
        </w:rPr>
      </w:pPr>
      <w:r>
        <w:rPr>
          <w:b/>
          <w:sz w:val="28"/>
        </w:rPr>
        <w:t>4.</w:t>
        <w:tab/>
        <w:t>Land Use transfers</w:t>
      </w:r>
    </w:p>
    <w:p>
      <w:pPr>
        <w:pStyle w:val="Normal"/>
        <w:spacing w:lineRule="auto" w:line="480"/>
        <w:ind w:firstLine="720" w:end="0"/>
        <w:rPr/>
      </w:pPr>
      <w:r>
        <w:rPr/>
        <w:t>Another possibly significant hurdle would be the possible treatment of easements and other interests in property granted by cities, counties and private landowners to the utilities.  For example such parties may not wish to grant to the State of California the same interest in property as they have to the utilities, or that they would wish to make new agreements, or that some of the easements and rights of way are void upon transfer.  However as noted above, the state legislature is making eminent domain land transfers easier for public entities.</w:t>
      </w:r>
    </w:p>
    <w:p>
      <w:pPr>
        <w:pStyle w:val="Normal"/>
        <w:spacing w:lineRule="auto" w:line="480"/>
        <w:ind w:firstLine="720" w:end="0"/>
        <w:rPr>
          <w:b/>
          <w:sz w:val="28"/>
        </w:rPr>
      </w:pPr>
      <w:r>
        <w:rPr>
          <w:b/>
          <w:sz w:val="28"/>
        </w:rPr>
      </w:r>
    </w:p>
    <w:p>
      <w:pPr>
        <w:pStyle w:val="Normal"/>
        <w:spacing w:lineRule="auto" w:line="480"/>
        <w:ind w:firstLine="720" w:end="0"/>
        <w:rPr>
          <w:b/>
          <w:sz w:val="28"/>
        </w:rPr>
      </w:pPr>
      <w:r>
        <w:rPr>
          <w:b/>
          <w:sz w:val="28"/>
        </w:rPr>
        <w:t xml:space="preserve">5. </w:t>
        <w:tab/>
        <w:t>City and County Franchise Fees</w:t>
      </w:r>
    </w:p>
    <w:p>
      <w:pPr>
        <w:pStyle w:val="Normal"/>
        <w:spacing w:lineRule="auto" w:line="480"/>
        <w:ind w:firstLine="720" w:end="0"/>
        <w:rPr/>
      </w:pPr>
      <w:r>
        <w:rPr/>
        <w:t xml:space="preserve">Another issue is whether the state would be immune from city and county franchise fees.  Cities and counties may oppose the sale of transmission fees if it means a significant loss of income.   This may be a bigger issue for distribution systems rather than transmission systems.  We don’t know the magnitude of this issue yet.  We will need to look more closely to see if the state would be subject to franchise fees. </w:t>
      </w:r>
    </w:p>
    <w:p>
      <w:pPr>
        <w:pStyle w:val="Normal"/>
        <w:spacing w:lineRule="auto" w:line="480"/>
        <w:ind w:firstLine="720" w:end="0"/>
        <w:rPr>
          <w:b/>
          <w:sz w:val="28"/>
        </w:rPr>
      </w:pPr>
      <w:r>
        <w:rPr>
          <w:b/>
          <w:sz w:val="28"/>
        </w:rPr>
        <w:t>6.</w:t>
        <w:tab/>
        <w:t>Indian Tribes</w:t>
      </w:r>
    </w:p>
    <w:p>
      <w:pPr>
        <w:pStyle w:val="Normal"/>
        <w:spacing w:lineRule="auto" w:line="480"/>
        <w:ind w:firstLine="720" w:end="0"/>
        <w:rPr/>
      </w:pPr>
      <w:r>
        <w:rPr/>
        <w:tab/>
        <w:t xml:space="preserve">In Southern California a number of transmission lines go through Indian land.  Indian tribal land is self-governed under the jurisdiction of the federal government. </w:t>
      </w:r>
    </w:p>
    <w:p>
      <w:pPr>
        <w:pStyle w:val="Normal"/>
        <w:spacing w:lineRule="auto" w:line="480"/>
        <w:ind w:firstLine="720" w:end="0"/>
        <w:rPr>
          <w:b/>
          <w:sz w:val="28"/>
        </w:rPr>
      </w:pPr>
      <w:r>
        <w:rPr>
          <w:b/>
          <w:sz w:val="28"/>
        </w:rPr>
      </w:r>
    </w:p>
    <w:p>
      <w:pPr>
        <w:pStyle w:val="Normal"/>
        <w:spacing w:lineRule="auto" w:line="480"/>
        <w:ind w:firstLine="720" w:end="0"/>
        <w:rPr>
          <w:b/>
          <w:sz w:val="28"/>
        </w:rPr>
      </w:pPr>
      <w:r>
        <w:rPr>
          <w:b/>
          <w:sz w:val="28"/>
        </w:rPr>
        <w:t>7.</w:t>
        <w:tab/>
        <w:t>CEC</w:t>
      </w:r>
    </w:p>
    <w:p>
      <w:pPr>
        <w:pStyle w:val="Normal"/>
        <w:spacing w:lineRule="auto" w:line="480"/>
        <w:ind w:firstLine="720" w:end="0"/>
        <w:rPr/>
      </w:pPr>
      <w:r>
        <w:rPr/>
        <w:t>The California Energy Commission is the state’s primary energy policy and planning agency.  Its responsibilities include 1) forecasting future energy needs and keeping historical energy data, 2) Licensing thermal power plants, 3) Promoting energy efficiency, 4) Developing energy technologies and planning state responses to energy emergencies.  It does not seem likely that the CEC would play any role in the state’s purchase of electricity transmission facilities.  We will need to review the statutory provisions to see if the CEC has a review process that encompasses the sale of transmission facilities.  While this issue has not come up before, the CEC’s jurisdiction may be broad enough to cover such matters.</w:t>
      </w:r>
    </w:p>
    <w:p>
      <w:pPr>
        <w:pStyle w:val="Normal"/>
        <w:spacing w:lineRule="auto" w:line="480"/>
        <w:ind w:firstLine="720" w:end="0"/>
        <w:rPr>
          <w:b/>
          <w:sz w:val="28"/>
        </w:rPr>
      </w:pPr>
      <w:r>
        <w:rPr>
          <w:b/>
          <w:sz w:val="28"/>
        </w:rPr>
      </w:r>
    </w:p>
    <w:p>
      <w:pPr>
        <w:pStyle w:val="Normal"/>
        <w:spacing w:lineRule="exact" w:line="200" w:before="240" w:after="0"/>
        <w:rPr/>
      </w:pPr>
      <w:r>
        <w:rPr>
          <w:rStyle w:val="zzmpTrailerItem"/>
        </w:rPr>
        <w:t>2704/138/X22074-1</w:t>
      </w: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62" w:type="dxa"/>
      <w:jc w:val="start"/>
      <w:tblInd w:w="0" w:type="dxa"/>
      <w:tblLayout w:type="fixed"/>
      <w:tblCellMar>
        <w:top w:w="0" w:type="dxa"/>
        <w:start w:w="108" w:type="dxa"/>
        <w:bottom w:w="0" w:type="dxa"/>
        <w:end w:w="108" w:type="dxa"/>
      </w:tblCellMar>
    </w:tblPr>
    <w:tblGrid>
      <w:gridCol w:w="4522"/>
      <w:gridCol w:w="720"/>
      <w:gridCol w:w="4320"/>
    </w:tblGrid>
    <w:tr>
      <w:trPr/>
      <w:tc>
        <w:tcPr>
          <w:tcW w:w="4522" w:type="dxa"/>
          <w:tcBorders/>
        </w:tcPr>
        <w:p>
          <w:pPr>
            <w:pStyle w:val="Footer"/>
            <w:snapToGrid w:val="false"/>
            <w:rPr/>
          </w:pPr>
          <w:r>
            <w:rPr/>
          </w:r>
        </w:p>
      </w:tc>
      <w:tc>
        <w:tcPr>
          <w:tcW w:w="720"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c>
      <w:tc>
        <w:tcPr>
          <w:tcW w:w="4320" w:type="dxa"/>
          <w:tcBorders/>
        </w:tcPr>
        <w:p>
          <w:pPr>
            <w:pStyle w:val="Footer"/>
            <w:snapToGrid w:val="false"/>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62" w:type="dxa"/>
      <w:jc w:val="start"/>
      <w:tblInd w:w="0" w:type="dxa"/>
      <w:tblLayout w:type="fixed"/>
      <w:tblCellMar>
        <w:top w:w="0" w:type="dxa"/>
        <w:start w:w="108" w:type="dxa"/>
        <w:bottom w:w="0" w:type="dxa"/>
        <w:end w:w="108" w:type="dxa"/>
      </w:tblCellMar>
    </w:tblPr>
    <w:tblGrid>
      <w:gridCol w:w="4522"/>
      <w:gridCol w:w="720"/>
      <w:gridCol w:w="4320"/>
    </w:tblGrid>
    <w:tr>
      <w:trPr/>
      <w:tc>
        <w:tcPr>
          <w:tcW w:w="4522" w:type="dxa"/>
          <w:tcBorders/>
        </w:tcPr>
        <w:p>
          <w:pPr>
            <w:pStyle w:val="Footer"/>
            <w:snapToGrid w:val="false"/>
            <w:rPr/>
          </w:pPr>
          <w:r>
            <w:rPr/>
          </w:r>
        </w:p>
      </w:tc>
      <w:tc>
        <w:tcPr>
          <w:tcW w:w="720" w:type="dxa"/>
          <w:tcBorders/>
        </w:tcPr>
        <w:p>
          <w:pPr>
            <w:pStyle w:val="Footer"/>
            <w:snapToGrid w:val="false"/>
            <w:jc w:val="center"/>
            <w:rPr/>
          </w:pPr>
          <w:r>
            <w:rPr/>
          </w:r>
        </w:p>
      </w:tc>
      <w:tc>
        <w:tcPr>
          <w:tcW w:w="4320" w:type="dxa"/>
          <w:tcBorders/>
        </w:tcPr>
        <w:p>
          <w:pPr>
            <w:pStyle w:val="Footer"/>
            <w:snapToGrid w:val="false"/>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spacing w:before="120" w:after="240"/>
      <w:ind w:start="115" w:end="115"/>
      <w:jc w:val="center"/>
      <w:rPr/>
    </w:pPr>
    <w:r>
      <w:rPr>
        <w:smallCaps/>
        <w:sz w:val="32"/>
      </w:rPr>
      <w:t>Goodin, MacBride,</w:t>
      <w:br/>
      <w:t xml:space="preserve">Squeri, Ritchie </w:t>
    </w:r>
    <w:r>
      <w:rPr>
        <w:smallCaps/>
        <w:sz w:val="26"/>
      </w:rPr>
      <w:t>&amp;</w:t>
    </w:r>
    <w:r>
      <w:rPr>
        <w:smallCaps/>
        <w:sz w:val="32"/>
      </w:rPr>
      <w:t xml:space="preserve"> Day, llp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hkCALTEL" w:val="False"/>
    <w:docVar w:name="chkIncludeDPhrase" w:val="False"/>
    <w:docVar w:name="chkOptIncludeFirmName" w:val="True"/>
    <w:docVar w:name="chkOptInsertDateAsField" w:val="True"/>
    <w:docVar w:name="cmbAuthor" w:val="2046"/>
    <w:docVar w:name="cmbAuthorLists" w:val="-100"/>
    <w:docVar w:name="cmbOptBodyTextAlignment" w:val="0"/>
    <w:docVar w:name="cmbOptFonts" w:val="Times New Roman"/>
    <w:docVar w:name="cmbOptLetterhead" w:val="Firm Name"/>
    <w:docVar w:name="cmbOptOffices" w:val="1"/>
    <w:docVar w:name="iTrailerType" w:val="1"/>
    <w:docVar w:name="lstDeliveryPhrases" w:val="Attorney Work Product"/>
    <w:docVar w:name="Restarted" w:val="True"/>
    <w:docVar w:name="tglUseFirmDefaults" w:val="False"/>
    <w:docVar w:name="txtFrom" w:val="James W. McTarnaghan&#10;Alexandra M. Ozols"/>
    <w:docVar w:name="txtOptBottomMargin" w:val="1"/>
    <w:docVar w:name="txtOptFirstLine" w:val="1"/>
    <w:docVar w:name="txtOptFSize" w:val="12"/>
    <w:docVar w:name="txtOptLeftMargin" w:val="1"/>
    <w:docVar w:name="txtOptRightMargin" w:val="1"/>
    <w:docVar w:name="txtOptTopMargin" w:val="1"/>
    <w:docVar w:name="txtRe" w:val="Steps for State of California to Purchase Transmission Facilities Operated by the ISO as of 1/1/01"/>
    <w:docVar w:name="txtTo" w:val="Sue Mara, Enron"/>
    <w:docVar w:name="zzmpFixed_MacPacVersion" w:val="97"/>
    <w:docVar w:name="zzmpFixedDOC_ID" w:val="2704/138/X22074-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liveryPhrase">
    <w:name w:val="Delivery Phrase"/>
    <w:basedOn w:val="Normal"/>
    <w:qFormat/>
    <w:pPr>
      <w:spacing w:before="0" w:after="240"/>
    </w:pPr>
    <w:rPr>
      <w:b/>
      <w:caps/>
      <w:u w:val="single"/>
    </w:rPr>
  </w:style>
  <w:style w:type="paragraph" w:styleId="BodyTextIndent">
    <w:name w:val="Body Text Indent"/>
    <w:basedOn w:val="BodyText"/>
    <w:next w:val="BodyText"/>
    <w:pPr>
      <w:spacing w:before="0" w:after="0"/>
      <w:ind w:firstLine="144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Quote">
    <w:name w:val="Quote"/>
    <w:basedOn w:val="Normal"/>
    <w:next w:val="BodyTextContinued"/>
    <w:qFormat/>
    <w:pPr>
      <w:spacing w:before="0" w:after="240"/>
      <w:ind w:hanging="0" w:start="1440" w:end="144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BodyTextContinued">
    <w:name w:val="Body Text Continued"/>
    <w:basedOn w:val="BodyText"/>
    <w:next w:val="BodyText"/>
    <w:qFormat/>
    <w:pPr>
      <w:ind w:hanging="0" w:start="0" w:end="0"/>
    </w:pPr>
    <w:rPr/>
  </w:style>
  <w:style w:type="paragraph" w:styleId="MemoHeading">
    <w:name w:val="Memo Heading"/>
    <w:qFormat/>
    <w:pPr>
      <w:widowControl/>
      <w:bidi w:val="0"/>
      <w:spacing w:before="0" w:after="180"/>
    </w:pPr>
    <w:rPr>
      <w:rFonts w:ascii="Arial" w:hAnsi="Arial" w:eastAsia="Times New Roman" w:cs="Arial"/>
      <w:b/>
      <w:color w:val="auto"/>
      <w:sz w:val="20"/>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2001-02-21T17:58:00Z</dcterms:created>
  <dc:creator>AMO</dc:creator>
  <dc:description>Rev. March 13, 1998 10:48:50</dc:description>
  <dc:language>en-CA</dc:language>
  <cp:lastModifiedBy>AMO</cp:lastModifiedBy>
  <cp:lastPrinted>2001-02-21T12:28:00Z</cp:lastPrinted>
  <dcterms:modified xsi:type="dcterms:W3CDTF">2001-02-21T17:58:00Z</dcterms:modified>
  <cp:revision>2</cp:revision>
  <dc:subject/>
  <dc:title/>
</cp:coreProperties>
</file>